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2249-2026 i Älvdalens kommun</w:t>
      </w:r>
    </w:p>
    <w:p>
      <w:r>
        <w:t>Detta dokument behandlar höga naturvärden i avverkningsanmälan A 2249-2026 i Älvdalens kommun. Denna avverkningsanmälan inkom 2026-01-14 13:12:37 och omfattar 9,2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rynkskinn (VU), ulltickeporing (VU), doftskinn (NT), garnlav (NT), granticka (NT), spillkråka (NT, §4), tretåig hackspett (NT, §4), ullticka (NT), vitgrynig nållav (NT), gulnål (S), vedticka (S) och tjäder (§4).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8949"/>
            <wp:docPr id="1" name="Picture 1"/>
            <wp:cNvGraphicFramePr>
              <a:graphicFrameLocks noChangeAspect="1"/>
            </wp:cNvGraphicFramePr>
            <a:graphic>
              <a:graphicData uri="http://schemas.openxmlformats.org/drawingml/2006/picture">
                <pic:pic>
                  <pic:nvPicPr>
                    <pic:cNvPr id="0" name="A 2249-2026 karta.png"/>
                    <pic:cNvPicPr/>
                  </pic:nvPicPr>
                  <pic:blipFill>
                    <a:blip r:embed="rId16"/>
                    <a:stretch>
                      <a:fillRect/>
                    </a:stretch>
                  </pic:blipFill>
                  <pic:spPr>
                    <a:xfrm>
                      <a:off x="0" y="0"/>
                      <a:ext cx="5486400" cy="42389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6818411, E 402447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Rynkskinn (VU)</w:t>
      </w:r>
      <w:r>
        <w:t xml:space="preserve">,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Rynkskinn är typisk art för </w:t>
      </w:r>
      <w:r>
        <w:rPr>
          <w:i/>
        </w:rPr>
        <w:t xml:space="preserve">9010 Taiga, 9050 Näringsrik granskog </w:t>
      </w:r>
      <w:r>
        <w:t>och</w:t>
      </w:r>
      <w:r>
        <w:rPr>
          <w:i/>
        </w:rPr>
        <w:t xml:space="preserve"> 9030 Landhöjningsskog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spillkråka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2023).</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