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40996-2023 i Älvdalens kommun</w:t>
      </w:r>
    </w:p>
    <w:p>
      <w:r>
        <w:t>Detta klagomål behandlar höga naturvärden i avverkningsanmälan A 40996-2023 i Älvdalens kommun som inkom 2023-09-04 och omfattar 8,0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0996-2023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6795465, E 451766 i SWEREF 99 TM.</w:t>
      </w:r>
    </w:p>
    <w:p>
      <w:r>
        <w:t>I och inom 22 meter från avverkningsanmälan finns fynd av 33 naturvårdsarter, varav 11 är rödlistade, 20 är fridlysta, 19 är typiska (T) och 9 är signalarter (S): garnlav (VU, T), knärot (VU, T, §8), lappuggla (VU, §4), duvhök (NT, §4), gammelgransskål (NT, T), gultoppig fingersvamp (NT), rödvingetrast (NT, §4), skogshare (NT), sparvuggla (NT, §4), talltita (NT, §4), ullticka (NT, T), grönkulla (S, T, §8), korallrot (S, T, §8), mörk husmossa (S, T), rödgul trumpetsvamp (S), spindelblomster (S, T, §8), svavelriska (S), trådticka (S, T), vedticka (S, T), ögonpyrola (S, T), blåsippa (T, §9), brudborste (T), gråspett (T, §4), järpe (T, §4), kärrfibbla (T), spillkråka (T, §4), tjäder (T, §4), tofsmes (T, §4), kungsfågel (§4), vanlig groda (§6), fläcknycklar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1.81 ha med buffertzonerna och får av detta skäl inte avverkas.</w:t>
      </w:r>
    </w:p>
    <w:p>
      <w:pPr>
        <w:pStyle w:val="Caption"/>
      </w:pPr>
      <w:r>
        <w:drawing>
          <wp:inline xmlns:a="http://schemas.openxmlformats.org/drawingml/2006/main" xmlns:pic="http://schemas.openxmlformats.org/drawingml/2006/picture">
            <wp:extent cx="5486400" cy="3972455"/>
            <wp:docPr id="2" name="Picture 2"/>
            <wp:cNvGraphicFramePr>
              <a:graphicFrameLocks noChangeAspect="1"/>
            </wp:cNvGraphicFramePr>
            <a:graphic>
              <a:graphicData uri="http://schemas.openxmlformats.org/drawingml/2006/picture">
                <pic:pic>
                  <pic:nvPicPr>
                    <pic:cNvPr id="0" name="A 40996-2023 karta knärot.png"/>
                    <pic:cNvPicPr/>
                  </pic:nvPicPr>
                  <pic:blipFill>
                    <a:blip r:embed="rId17"/>
                    <a:stretch>
                      <a:fillRect/>
                    </a:stretch>
                  </pic:blipFill>
                  <pic:spPr>
                    <a:xfrm>
                      <a:off x="0" y="0"/>
                      <a:ext cx="5486400" cy="3972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6795465, E 451766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