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23 naturvårdsarter, varav 11 är rödlistade, 9 är fridlysta, 18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