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49122-2025 i Älvdalens kommun</w:t>
      </w:r>
    </w:p>
    <w:p>
      <w:r>
        <w:t>Detta klagomål behandlar höga naturvärden i avverkningsanmälan A 49122-2025 i Älvdalens kommun som inkom 2025-10-07 och omfattar 4,9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9122-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6872850, E 367391 i SWEREF 99 TM.</w:t>
      </w:r>
    </w:p>
    <w:p>
      <w:r>
        <w:t>I och inom 2 meter från avverkningsanmälan finns fynd av 25 naturvårdsarter, varav 21 är rödlistade, 3 är fridlysta, 18 är typiska (T) och 3 är signalarter (S): garnlav (VU, T), gräddporing (VU, T), gränsticka (VU, T), smalfotad taggsvamp (VU), blanksvart spiklav (NT), blå taggsvamp (NT, T), blågrå svartspik (NT), dropptaggsvamp (NT, T), dvärgbägarlav (NT, T), kolflarnlav (NT, T), lavskrika (NT, T, §4), lunglav (NT, T), mörk kolflarnlav (NT), reliktbock (NT, T), skrovellav (NT, T), talltagel (NT, T), talltita (NT, §4), vaddporing (NT), vedflamlav (NT), vedskivlav (NT, T), violettgrå tagellav (NT, T), bronshjon (S, T), luddlav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