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22 meter från avverkningsanmälan finns fynd av 19 naturvårdsarter, varav 12 är rödlistade, 5 är fridlysta, 12 är typiska (T) och 3 är signalarter (S): urskogsporing (EN), knärot (VU, T, §8), dropptaggsvamp (NT, T), kolflarnlav (NT, T), kortskaftad ärgspik (NT), lunglav (NT, T), mörk kolflarnlav (NT), nordfladdermus (NT, §4a), talltaggsvamp (NT), tretåig hackspett (NT, T, §4), vedflamlav (NT), vedskivlav (NT, T), skinnlav (S, T), stuplav (S, T), ögonpyrola (S, T), brudborste (T), kransmossa (T),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vedskivlav (NT, T), skinnlav (S, T), stuplav (S, T), ögonpyrola (S, T), brudborste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