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55222-2025 i Älvdalens kommun</w:t>
      </w:r>
    </w:p>
    <w:p>
      <w:r>
        <w:t>Detta klagomål behandlar höga naturvärden i avverkningsanmälan A 55222-2025 i Älvdalens kommun som inkom 2025-11-07 och omfattar 2,8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A 55222-2025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6836893, E 409362 i SWEREF 99 TM.</w:t>
      </w:r>
    </w:p>
    <w:p>
      <w:r>
        <w:t>I och inom 24 meter från avverkningsanmälan finns fynd av 7 naturvårdsarter, varav 7 är rödlistade och 3 är typiska (T): urskogsticka (EN), gräddporing (VU, T), dvärgbägarlav (NT, T), kolflarnlav (NT, T), mörk kolflarnlav (NT), nordtagging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Urskogsticka (EN)</w:t>
      </w:r>
      <w:r>
        <w:t xml:space="preserve"> är en starkt hotad art som växer på lågor och högstubbar av tall, ofta på bränd ved och på träd av grova dimensioner. Den förekommer enbart i gamla naturskogsartade barrskogsbestånd på torrare mark och med dominans för tall. Sannolikt krävs att man helt avstår från skogsbruk på aktuella lokaler. Arten tycks särskilt beroende av att de grova dimensionerna finns kvar i bestånden liksom att det sker en kontinuerlig nybildning av grov ved. Arten gynnas troligen av skogsbrand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