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22701-2024 i Älvdalens kommun</w:t>
      </w:r>
    </w:p>
    <w:p>
      <w:r>
        <w:t>Denna tillsynsbegäran behandlar höga naturvärden i avverkningsanmälan A 22701-2024 i Älvdalens kommun som inkom 2024-06-05 och omfattar 2,7 ha.</w:t>
      </w:r>
    </w:p>
    <w:p>
      <w:pPr>
        <w:pStyle w:val="Caption"/>
      </w:pPr>
      <w:r>
        <w:drawing>
          <wp:inline xmlns:a="http://schemas.openxmlformats.org/drawingml/2006/main" xmlns:pic="http://schemas.openxmlformats.org/drawingml/2006/picture">
            <wp:extent cx="5486400" cy="5082933"/>
            <wp:docPr id="1" name="Picture 1"/>
            <wp:cNvGraphicFramePr>
              <a:graphicFrameLocks noChangeAspect="1"/>
            </wp:cNvGraphicFramePr>
            <a:graphic>
              <a:graphicData uri="http://schemas.openxmlformats.org/drawingml/2006/picture">
                <pic:pic>
                  <pic:nvPicPr>
                    <pic:cNvPr id="0" name="A 22701-2024 karta.png"/>
                    <pic:cNvPicPr/>
                  </pic:nvPicPr>
                  <pic:blipFill>
                    <a:blip r:embed="rId16"/>
                    <a:stretch>
                      <a:fillRect/>
                    </a:stretch>
                  </pic:blipFill>
                  <pic:spPr>
                    <a:xfrm>
                      <a:off x="0" y="0"/>
                      <a:ext cx="5486400" cy="50829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6855639, E 387318 i SWEREF 99 TM.</w:t>
      </w:r>
    </w:p>
    <w:p>
      <w:r>
        <w:t>I avverkningsanmälan finns fynd av 6 naturvårdsarter, varav 6 är rödlistade och 2 är typiska (T): smalfotad taggsvamp (VU), tajgataggsvamp (VU), tallstocksticka (VU), dropptaggsvamp (NT, T), dvärgbägarlav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Tallstocksticka (VU)</w:t>
      </w:r>
      <w:r>
        <w:t xml:space="preserve"> växer på gammal hård och grånad ved som under lång tid legat exponerad, främst barklösa grova lågor av tall i öppna, torra och solvarma miljöer. Arten är placerad högst upp i Skogsstyrelsens värdepyramid för bedömning av skog med höga naturvärden och signalerar glesa tallnaturskogar med permanent inslag av grov, solexponerad och torr barrved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