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34094-2026 i Älvdalens kommun</w:t>
      </w:r>
    </w:p>
    <w:p>
      <w:r>
        <w:t>Denna tillsynsbegäran behandlar höga naturvärden i avverkningsanmälan A 34094-2026 i Älvdalens kommun som inkom 2026-08-18 och omfattar 10,1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A 34094-2026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6824306, E 398507 i SWEREF 99 TM.</w:t>
      </w:r>
    </w:p>
    <w:p>
      <w:r>
        <w:t>I och inom 19 meter från avverkningsanmälan finns fynd av 23 naturvårdsarter, varav 20 är rödlistade, 3 är fridlysta, 12 är typiska (T) och 2 är signalarter (S): fläckporing (VU, T), garnlav (VU, T), gräddporing (VU, T), rotfingersvamp (VU), spadskinn (VU), blanksvart spiklav (NT), blågrå svartspik (NT), dropptaggsvamp (NT, T), dvärgbägarlav (NT, T), kolflarnlav (NT, T), kådvaxskinn (NT), mörk kolflarnlav (NT), nordtagging (NT), talltita (NT, §4), tretåig hackspett (NT, T, §4), vaddporing (NT), vedflamlav (NT), vedskivlav (NT, T), violettgrå tagellav (NT, T), vitgrynig nållav (NT), nästlav (S,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dvärgbägarlav (NT, T), kolflarnlav (NT, T), tretåig hackspett (NT, T, §4), vedskivlav (NT, T), violettgrå tagellav (NT, T), nästlav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