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34765-2025 i Älvdalens kommun</w:t>
      </w:r>
    </w:p>
    <w:p>
      <w:r>
        <w:t>Detta klagomål behandlar höga naturvärden i avverkningsanmälan A 34765-2025 i Älvdalens kommun som inkom 2025-07-10 och omfattar 32,9 ha.</w:t>
      </w:r>
    </w:p>
    <w:p>
      <w:pPr>
        <w:pStyle w:val="Caption"/>
      </w:pPr>
      <w:r>
        <w:drawing>
          <wp:inline xmlns:a="http://schemas.openxmlformats.org/drawingml/2006/main" xmlns:pic="http://schemas.openxmlformats.org/drawingml/2006/picture">
            <wp:extent cx="5486400" cy="4818229"/>
            <wp:docPr id="1" name="Picture 1"/>
            <wp:cNvGraphicFramePr>
              <a:graphicFrameLocks noChangeAspect="1"/>
            </wp:cNvGraphicFramePr>
            <a:graphic>
              <a:graphicData uri="http://schemas.openxmlformats.org/drawingml/2006/picture">
                <pic:pic>
                  <pic:nvPicPr>
                    <pic:cNvPr id="0" name="A 34765-2025 karta.png"/>
                    <pic:cNvPicPr/>
                  </pic:nvPicPr>
                  <pic:blipFill>
                    <a:blip r:embed="rId16"/>
                    <a:stretch>
                      <a:fillRect/>
                    </a:stretch>
                  </pic:blipFill>
                  <pic:spPr>
                    <a:xfrm>
                      <a:off x="0" y="0"/>
                      <a:ext cx="5486400" cy="4818229"/>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6799925, E 428553 i SWEREF 99 TM.</w:t>
      </w:r>
    </w:p>
    <w:p>
      <w:r>
        <w:t>I och inom 18 meter från avverkningsanmälan finns fynd av 32 naturvårdsarter, varav 19 är rödlistade, 9 är fridlysta, 20 är typiska (T) och 7 är signalarter (S): fläckporing (VU, T), garnlav (VU, T), spadskinn (VU), blanksvart spiklav (NT), blå taggsvamp (NT, T), dropptaggsvamp (NT, T), dvärgbägarlav (NT, T), kolflarnlav (NT, T), mörk kolflarnlav (NT), skarp dropptaggsvamp (NT), sotvaxskivling (NT), talltagel (NT, T), tallticka (NT, T), talltita (NT, §4), tretåig hackspett (NT, T, §4), ullticka (NT, T), vedflamlav (NT), vedskivlav (NT, T), violettgrå tagellav (NT, T), bronshjon (S, T), gullgröppa (S), mindre märgborre (S, T), nästlav (S, T), plattlummer (S, T, §9), rödgul trumpetsvamp (S), svavelriska (S), järpe (T, §4), spillkråka (T, §4), tjäder (T, §4), tofsmes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Spadskinn (VU)</w:t>
      </w:r>
      <w:r>
        <w:t xml:space="preserve"> är knuten till tallskogar med höga naturvärden och artens potentiella miljöer har minskat kraftigt och fortsätter att minska eftersom äldre sandtallskogar avverkas. Mykorrhiza-arter och andra marklevande svampar påverkas starkt negativt av slutavverkning då alla träd avlägsnas. Spadskinn är globalt rödlistad som sårbar (VU) vilket innebär att Sverige har ett internationellt ansvar för arten. Fler områden där arten förekommer behöver skyddas (SLU Artdatabanken, 2024; Nitare &amp; Skogsstyrelsen, 2019; IUCN, 2019).</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26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32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