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25 meter från avverkningsanmälan finns fynd av 30 naturvårdsarter, varav 26 är rödlistade, 6 är fridlysta, 15 är typiska (T) och 1 är signalart (S): fläckporing (VU, T), garnlav (VU, T), gräddporing (VU, T), smalfotad taggsvamp (VU), spadskinn (VU), tajgataggsvamp (VU), blanksvart spiklav (NT), blå taggsvamp (NT, T), blågrå svartspik (NT), dropptaggsvamp (NT, T), dvärgbägarlav (NT, T), kolflarnlav (NT, T), kortskaftad ärgspik (NT), motaggsvamp (NT, T), mörk kolflarnlav (NT), nordtagging (NT), skarp dropptaggsvamp (NT), svartvit taggsvamp (NT), talltagel (NT, T), talltita (NT, §4), tretåig hackspett (NT, T, §4), vaddporing (NT), varglav (NT, §8), vedflamlav (NT), vedskivlav (NT, T), violettgrå tagellav (NT, T), plattlummer (S,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kolflarnlav (NT, T), motaggsvamp (NT, T), talltagel (NT, T), tretåig hackspett (NT, T, §4), vedskivlav (NT, T), violettgrå tagellav (NT, T), plattlummer (S,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