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41585-2025 i Älvdalens kommun</w:t>
      </w:r>
    </w:p>
    <w:p>
      <w:r>
        <w:t>Denna tillsynsbegäran behandlar höga naturvärden i avverkningsanmälan A 41585-2025 i Älvdalens kommun som inkom 2025-09-01 och omfattar 21,3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1585-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6815055, E 447950 i SWEREF 99 TM.</w:t>
      </w:r>
    </w:p>
    <w:p>
      <w:r>
        <w:t>I avverkningsanmälan finns fynd av 24 naturvårdsarter, varav 13 är rödlistade, 8 är fridlysta, 18 är typiska (T) och 7 är signalarter (S): garnlav (VU, T), knärot (VU, T, §8), dropptaggsvamp (NT, T), kolflarnlav (NT, T), kortskaftad ärgspik (NT), mörk kolflarnlav (NT), skrovellav (NT, T), talltita (NT, §4), tretåig hackspett (NT, T, §4), ullticka (NT, T), vedskivlav (NT, T), violettgrå tagellav (NT, T), vitgrynig nållav (NT), bårdlav (S, T), gulnål (S, T), luddlav (S, T), plattlummer (S, T, §9), skinnlav (S, T), stuplav (S, T), vedticka (S, T),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4707746"/>
            <wp:docPr id="2" name="Picture 2"/>
            <wp:cNvGraphicFramePr>
              <a:graphicFrameLocks noChangeAspect="1"/>
            </wp:cNvGraphicFramePr>
            <a:graphic>
              <a:graphicData uri="http://schemas.openxmlformats.org/drawingml/2006/picture">
                <pic:pic>
                  <pic:nvPicPr>
                    <pic:cNvPr id="0" name="A 41585-2025 karta knärot.png"/>
                    <pic:cNvPicPr/>
                  </pic:nvPicPr>
                  <pic:blipFill>
                    <a:blip r:embed="rId17"/>
                    <a:stretch>
                      <a:fillRect/>
                    </a:stretch>
                  </pic:blipFill>
                  <pic:spPr>
                    <a:xfrm>
                      <a:off x="0" y="0"/>
                      <a:ext cx="5486400" cy="4707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6815055, E 447950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skrovellav (NT, T), tretåig hackspett (NT, T, §4), ullticka (NT, T), vedskivlav (NT, T), violettgrå tagellav (NT, T), bårdlav (S, T), gulnål (S, T), luddlav (S, T), plattlummer (S, T, §9), skinnlav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