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23 meter från avverkningsanmälan finns fynd av 22 naturvårdsarter, varav 17 är rödlistade, 5 är fridlysta, 13 är typiska (T) och 2 är signalarter (S): garnlav (VU, T), blanksvart spiklav (NT), blågrå svartspik (NT), dvärgbägarlav (NT, T), kolflarnlav (NT, T), liten svartspik (NT), motaggsvamp (NT, T), mörk kolflarnlav (NT), nötkråka (NT, T, §4), skogshare (NT), talltagel (NT, T), talltita (NT, §4), tretåig hackspett (NT, T, §4), vedflamlav (NT), vedskivlav (NT, T), violettgrå tagellav (NT, T), vitgrynig nållav (NT), mindre märgborre (S, T), vedticka (S, T), spillkråka (T, §4), sälg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nötkråka (NT, T, §4), talltagel (NT, T), tretåig hackspett (NT, T, §4), vedskivlav (NT, T), violettgrå tagellav (NT, T), mindre märgborre (S, T), vedticka (S,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