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1159-2026 i Älvdalens kommun</w:t>
      </w:r>
    </w:p>
    <w:p>
      <w:r>
        <w:t>Detta klagomål behandlar höga naturvärden i avverkningsanmälan A 1159-2026 i Älvdalens kommun som inkom 2026-01-09 och omfattar 33,9 ha.</w:t>
      </w:r>
    </w:p>
    <w:p>
      <w:pPr>
        <w:pStyle w:val="Caption"/>
      </w:pPr>
      <w:r>
        <w:drawing>
          <wp:inline xmlns:a="http://schemas.openxmlformats.org/drawingml/2006/main" xmlns:pic="http://schemas.openxmlformats.org/drawingml/2006/picture">
            <wp:extent cx="5486400" cy="5022601"/>
            <wp:docPr id="1" name="Picture 1"/>
            <wp:cNvGraphicFramePr>
              <a:graphicFrameLocks noChangeAspect="1"/>
            </wp:cNvGraphicFramePr>
            <a:graphic>
              <a:graphicData uri="http://schemas.openxmlformats.org/drawingml/2006/picture">
                <pic:pic>
                  <pic:nvPicPr>
                    <pic:cNvPr id="0" name="A 1159-2026 karta.png"/>
                    <pic:cNvPicPr/>
                  </pic:nvPicPr>
                  <pic:blipFill>
                    <a:blip r:embed="rId16"/>
                    <a:stretch>
                      <a:fillRect/>
                    </a:stretch>
                  </pic:blipFill>
                  <pic:spPr>
                    <a:xfrm>
                      <a:off x="0" y="0"/>
                      <a:ext cx="5486400" cy="5022601"/>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6792555, E 433068 i SWEREF 99 TM.</w:t>
      </w:r>
    </w:p>
    <w:p>
      <w:r>
        <w:t>I och inom 17 meter från avverkningsanmälan finns fynd av 10 naturvårdsarter, varav 7 är rödlistade, 3 är fridlysta, 7 är typiska (T) och 1 är signalart (S): garnlav (VU, T), raggbock (VU, T), kolflarnlav (NT, T), mörk kolflarnlav (NT), tallticka (NT, T), tretåig hackspett (NT, T, §4), vedflamlav (NT), mindre märgborre (S, T), spillkråka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Raggbock är typisk art för </w:t>
      </w:r>
      <w:r>
        <w:rPr>
          <w:i/>
        </w:rPr>
        <w:t>9010 Taiga</w:t>
      </w:r>
      <w:r>
        <w:t xml:space="preserve"> och</w:t>
      </w:r>
      <w:r>
        <w:rPr>
          <w:i/>
        </w:rPr>
        <w:t xml:space="preserve"> 9060 Åsbarrskog</w:t>
      </w:r>
      <w:r>
        <w:t xml:space="preserve"> (SLU Artdatabanken, 2024; Wikars, 2014; IUCN, 2010).</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