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40996-2023 i Älvdalens kommun</w:t>
      </w:r>
    </w:p>
    <w:p>
      <w:r>
        <w:t>Denna tillsynsbegäran behandlar höga naturvärden i avverkningsanmälan A 40996-2023 i Älvdalens kommun som inkom 2023-09-04 och omfattar 8,0 ha.</w:t>
      </w:r>
    </w:p>
    <w:p>
      <w:pPr>
        <w:pStyle w:val="Caption"/>
      </w:pPr>
      <w:r>
        <w:drawing>
          <wp:inline xmlns:a="http://schemas.openxmlformats.org/drawingml/2006/main" xmlns:pic="http://schemas.openxmlformats.org/drawingml/2006/picture">
            <wp:extent cx="5486400" cy="4583312"/>
            <wp:docPr id="1" name="Picture 1"/>
            <wp:cNvGraphicFramePr>
              <a:graphicFrameLocks noChangeAspect="1"/>
            </wp:cNvGraphicFramePr>
            <a:graphic>
              <a:graphicData uri="http://schemas.openxmlformats.org/drawingml/2006/picture">
                <pic:pic>
                  <pic:nvPicPr>
                    <pic:cNvPr id="0" name="A 40996-2023 karta.png"/>
                    <pic:cNvPicPr/>
                  </pic:nvPicPr>
                  <pic:blipFill>
                    <a:blip r:embed="rId16"/>
                    <a:stretch>
                      <a:fillRect/>
                    </a:stretch>
                  </pic:blipFill>
                  <pic:spPr>
                    <a:xfrm>
                      <a:off x="0" y="0"/>
                      <a:ext cx="5486400" cy="4583312"/>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har ett svart streck som visar fyndplatsens exakta position. Kartans mittpunktskoordinat är N 6795465, E 451766 i SWEREF 99 TM.</w:t>
      </w:r>
    </w:p>
    <w:p>
      <w:r>
        <w:t>I och inom 22 meter från avverkningsanmälan finns fynd av 29 naturvårdsarter, varav 10 är rödlistade, 17 är fridlysta, 16 är typiska (T) och 8 är signalarter (S): garnlav (VU, T), knärot (VU, T, §8), lappuggla (VU, §4), duvhök (NT, §4), gammelgransskål (NT, T), gultoppig fingersvamp (NT), rödvingetrast (NT, §4), skogshare (NT), talltita (NT, §4), ullticka (NT, T), korallrot (S, T, §8), mörk husmossa (S, T), rödgul trumpetsvamp (S), spindelblomster (S, T, §8), svavelriska (S), trådticka (S, T), vedticka (S, T), ögonpyrola (S, T), blåsippa (T, §9), gråspett (T, §4), järpe (T, §4), kärrfibbla (T), spillkråka (T, §4), tofsmes (T, §4), kungsfågel (§4), vanlig groda (§6), fläcknycklar (§8), ängsnycklar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1.81 ha med buffertzonerna och får av detta skäl inte avverkas.</w:t>
      </w:r>
    </w:p>
    <w:p>
      <w:pPr>
        <w:pStyle w:val="Caption"/>
      </w:pPr>
      <w:r>
        <w:drawing>
          <wp:inline xmlns:a="http://schemas.openxmlformats.org/drawingml/2006/main" xmlns:pic="http://schemas.openxmlformats.org/drawingml/2006/picture">
            <wp:extent cx="5486400" cy="3972455"/>
            <wp:docPr id="2" name="Picture 2"/>
            <wp:cNvGraphicFramePr>
              <a:graphicFrameLocks noChangeAspect="1"/>
            </wp:cNvGraphicFramePr>
            <a:graphic>
              <a:graphicData uri="http://schemas.openxmlformats.org/drawingml/2006/picture">
                <pic:pic>
                  <pic:nvPicPr>
                    <pic:cNvPr id="0" name="A 40996-2023 karta knärot.png"/>
                    <pic:cNvPicPr/>
                  </pic:nvPicPr>
                  <pic:blipFill>
                    <a:blip r:embed="rId17"/>
                    <a:stretch>
                      <a:fillRect/>
                    </a:stretch>
                  </pic:blipFill>
                  <pic:spPr>
                    <a:xfrm>
                      <a:off x="0" y="0"/>
                      <a:ext cx="5486400" cy="397245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6795465, E 451766 i SWEREF 99 TM.</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Gråspett (§4)</w:t>
      </w:r>
      <w:r>
        <w:t xml:space="preserve"> är fridlyst enligt 4§ artskyddsförordningen och upptagen i bilaga 1 fågeldirektivet. Gråspetten är en bra indikator för lövrika områden på landskapsnivå och försvinner när gles, flerskiktad, lövrik skog med hög andel döda och döende träd ersätts av täta, barrdominerade likåldriga bestånd. Arten missgynnas av skogliga åtgärder som minskar mängden död ved, som t.ex. bortrensning av vindfällen, avverkning i sumpskogsmiljöer och på brandfält. Häckningsreviret är stort, cirka 50–100 hektar. Under vintern är gråspetten mer beroende av äldre skog och döda träd och kan då röra sig över betydligt större områden, uppemot 2000–5000 hektar. Gråspett är typisk art för </w:t>
      </w:r>
      <w:r>
        <w:rPr>
          <w:i/>
        </w:rPr>
        <w:t xml:space="preserve">9010 Taiga </w:t>
      </w:r>
      <w:r>
        <w:t>(Skogsstyrelsen, 2016;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gammelgransskål (NT, T), ullticka (NT, T), korallrot (S, T, §8), mörk husmossa (S, T), spindelblomster (S, T, §8), trådticka (S, T), vedticka (S, T), ögonpyrola (S, T), blåsippa (T, §9), gråspett (T, §4), järpe (T, §4), kärrfibbla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