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39058-2026 i Älvdalens kommun</w:t>
      </w:r>
    </w:p>
    <w:p>
      <w:r>
        <w:t>Detta klagomål behandlar höga naturvärden i avverkningsanmälan A 39058-2026 i Älvdalens kommun som inkom 2026-09-22 och omfattar 22,8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39058-2026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6859341, E 384987 i SWEREF 99 TM.</w:t>
      </w:r>
    </w:p>
    <w:p>
      <w:r>
        <w:t>I och inom 2 meter från avverkningsanmälan finns fynd av 29 naturvårdsarter, varav 22 är rödlistade, 6 är fridlysta, 13 är typiska (T) och 4 är signalarter (S): gräddporing (VU, T), Lecidea subhumida (VU), smalfotad taggsvamp (VU), tajgataggsvamp (VU), blanksvart spiklav (NT), blågrå svartspik (NT), dropptaggsvamp (NT, T), dvärgbägarlav (NT, T), kolflarnlav (NT, T), lavskrika (NT, T, §4), mjölsvärting (NT), mörk kolflarnlav (NT), skarp dropptaggsvamp (NT), svartvit taggsvamp (NT), tallriska (NT), talltaggsvamp (NT), talltita (NT, §4), vaddporing (NT), varglav (NT, §8), vedflamlav (NT), vedskivlav (NT, T), vitplätt (NT), luddlav (S, T), nästlav (S, T), plattlummer (S, T, §9), vedticka (S, T), spillkråka (T, §4),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