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klagomål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23 meter från avverkningsanmälan finns fynd av 23 naturvårdsarter, varav 18 är rödlistade, 5 är fridlysta, 13 är typiska (T) och 2 är signalarter (S): garnlav (VU, T), blanksvart spiklav (NT), blågrå svartspik (NT), dvärgbägarlav (NT, T), kolflarnlav (NT, T), kortskaftad ärgspik (NT), liten svartspik (NT), motaggsvamp (NT, T), mörk kolflarnlav (NT), nötkråka (NT, T, §4), skogshare (NT), talltagel (NT, T), talltita (NT, §4), tretåig hackspett (NT, T, §4), vedflamlav (NT), vedskivlav (NT, T), violettgrå tagellav (NT, T), vitgrynig nållav (NT), mindre märgborre (S, T), vedticka (S, T), spillkråka (T, §4), sälg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