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23 meter från avverkningsanmälan finns fynd av 23 naturvårdsarter, varav 18 är rödlistade, 5 är fridlysta, 13 är typiska (T) och 2 är signalarter (S): garnlav (VU, T), blanksvart spiklav (NT), blågrå svartspik (NT), dvärgbägarlav (NT, T), kolflarnlav (NT, T), kortskaftad ärgspik (NT), liten svartspik (NT), motaggsvamp (NT, T), mörk kolflarnlav (NT), nötkråka (NT, T, §4), skogshare (NT), talltagel (NT, T), talltita (NT, §4), tretåig hackspett (NT, T, §4), vedflamlav (NT), vedskivlav (NT, T), violettgrå tagellav (NT, T), vitgrynig nållav (NT), mindre märgborre (S, T), vedticka (S, T), spillkråka (T, §4), sälg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nötkråka (NT, T, §4), talltagel (NT, T), tretåig hackspett (NT, T, §4), vedskivlav (NT, T), violettgrå tagellav (NT, T), mindre märgborre (S, T), vedticka (S,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