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29154-2025 i Älvdalens kommun</w:t>
      </w:r>
    </w:p>
    <w:p>
      <w:r>
        <w:t>Detta dokument behandlar höga naturvärden i avverkningsanmälan A 29154-2025 i Älvdalens kommun. Denna avverkningsanmälan inkom 2025-06-13 och omfattar 32,2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11 naturvårdsarter hittats: garnlav (NT), kolflarnlav (NT), mörk kolflarnlav (NT), spillkråka (NT, §4), tallticka (NT), vedflamlav (NT), vedskivlav (NT), vitgrynig nållav (NT), kungsfågel (§4), vanlig groda (§6) och fläcknycklar (§8). Av dessa är 8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680695"/>
            <wp:docPr id="1" name="Picture 1"/>
            <wp:cNvGraphicFramePr>
              <a:graphicFrameLocks noChangeAspect="1"/>
            </wp:cNvGraphicFramePr>
            <a:graphic>
              <a:graphicData uri="http://schemas.openxmlformats.org/drawingml/2006/picture">
                <pic:pic>
                  <pic:nvPicPr>
                    <pic:cNvPr id="0" name="A 29154-2025 karta.png"/>
                    <pic:cNvPicPr/>
                  </pic:nvPicPr>
                  <pic:blipFill>
                    <a:blip r:embed="rId16"/>
                    <a:stretch>
                      <a:fillRect/>
                    </a:stretch>
                  </pic:blipFill>
                  <pic:spPr>
                    <a:xfrm>
                      <a:off x="0" y="0"/>
                      <a:ext cx="5486400" cy="4680695"/>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6799807, E 426937 i SWEREF 99 TM.</w:t>
      </w:r>
    </w:p>
    <w:p>
      <w:r>
        <w:rPr>
          <w:b/>
        </w:rPr>
        <w:t>Garnlav (NT)</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Orsaken till tillbakagången beror främst på slutavverkningar av naturskogsartade skogar. Bestånd med riklig förekomst bör regelmässigt sparas.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(SLU Artdatabanken, 2024).</w:t>
      </w:r>
    </w:p>
    <w:p>
      <w:r>
        <w:rPr>
          <w:b/>
        </w:rPr>
        <w:t>Kolflarnlav (NT)</w:t>
      </w:r>
      <w:r>
        <w:t xml:space="preserve"> är brandberoende och växer nästan uteslutande på kolad hård kärnved av tall. Etableringen verkar ske först 100–300 år efter brand och nytt substrat nybildas i mycket begränsad omfattning. Avverkning av tallskog av naturskogskaraktär med spår av återkommande bränder är ett hot och mängden lämplig ved att växa på för arten minskar dels på grund av naturlig nedbrytning men framförallt på grund av att det förstörs i samband med slutavverkningar, gallringar och markberedning. Såväl kolflarnlav som mörk kolflarnlav har glänsande bålfjäll och förekommer främst i tall- och blandbarrskogar av naturskogskaraktär med spår av återkommande bränder. Skogar som dessa hyser höga biologiska värden och bör skyddas (SLU Artdatabanken, 2024).</w:t>
      </w:r>
    </w:p>
    <w:p>
      <w:r>
        <w:rPr>
          <w:b/>
        </w:rPr>
        <w:t>Mörk kolflarnlav (NT)</w:t>
      </w:r>
      <w:r>
        <w:t xml:space="preserve"> är brandberoende och växer nästan uteslutande på kolad hård kärnved av tall. Arten förekommer främst i glesa, öppna tall- och blandbarrskogar av naturskogskaraktär och etableringen verkar ske sent efter brand, kanske först efter 100–300 år. Mörk kolflarnlav indikerar skog med höga naturvärden och vanligast är att den påträffas på rester av nedbrunna torrakor och högstubbar och lågstubbar som är så grova att hela innandömet är urbränt. Tall- och blandbarrskogar av naturskogskaraktär med spår av återkommande bränder hyser höga biologiska värden och bör skyddas (SLU Artdatabanken, 2024).</w:t>
      </w:r>
    </w:p>
    <w:p>
      <w:r>
        <w:rPr>
          <w:b/>
        </w:rPr>
        <w:t xml:space="preserve">Tallticka (NT) </w:t>
      </w:r>
      <w:r>
        <w:t>uppträder först på tallar som är 100–150 år gamla men är vanligast på träd som är runt 150–200 år eller äldre. I skogslandskapet är den främst knuten till tallnaturskogar och restbiotoper med biologiskt gamla träd och signalerar vanligtvis skyddsvärda tallbestånd med höga naturvärden (SLU Artdatabanken, 2023; Nitare &amp; Skogsstyrelsen, 2019).</w:t>
      </w:r>
    </w:p>
    <w:p>
      <w:r>
        <w:rPr>
          <w:b/>
        </w:rPr>
        <w:t>Vedflamlav (NT)</w:t>
      </w:r>
      <w:r>
        <w:t xml:space="preserve"> växer på gammal hård och torr, exponerad kärnved av tall, främst på högstubbar i ljusöppna lägen, t.ex. vid och på myrar, sjökanter, i glesa hällmarkskogar och i brandpräglade tallnaturskogar. Substratet nyskapas i begränsad omfattning och arten är en utmärkt indikator på höga naturvärden i denna skogstyp. Tall- och barrblandskogar med naturskogskaraktär och spår av bränder har ofta höga biologiska värden och bör skyddas (SLU Artdatabanken, 2024).</w:t>
      </w:r>
    </w:p>
    <w:p>
      <w:r>
        <w:rPr>
          <w:b/>
        </w:rPr>
        <w:t>Vedskivlav (NT)</w:t>
      </w:r>
      <w:r>
        <w:t xml:space="preserve"> växer på gammal, torr, exponerad, hård kärnved av framförallt tall i naturskogsartade bestånd. Avverkning av tallskog av naturskogskaraktär med spår av återkommande bränder är ett hot. Mängden lämplig ved att växa på för vedskivlav minskar, dels på grund av naturlig nedbrytning men framförallt på grund av att de förstörs i samband med slutavverkningar, gallringar och markberedning. Tall- och blandbarrskogar av naturskogskaraktär med spår av återkommande bränder bör skyddas (SLU Artdatabanken, 2024).</w:t>
      </w:r>
    </w:p>
    <w:p>
      <w:r>
        <w:rPr>
          <w:b/>
        </w:rPr>
        <w:t>Vitgrynig nållav (NT)</w:t>
      </w:r>
      <w:r>
        <w:t xml:space="preserve"> växer nästan uteslutande på bark av gamla, senvuxna granar i skuggiga lägen med hög och jämn luftfuktighet. Den vanligaste naturtypen för arten är kontinuitetsskogar på frisk mark men den finns också i sumpgranskogar. På lång sikt utgör avverkningar av olikåldriga granskogar av naturskogskaraktär ett allvarligt hot mot arten och skogsbruksåtgärder på eller i närheten av växtplatserna bör undvikas. Naturskogsartade, fuktiga granskogar med förekomster av arten signalerar höga biologiska värden och bör bevaras (SLU Artdatabanken, 2024; Nitare &amp; Skogsstyrelsen, 2019).</w:t>
      </w:r>
    </w:p>
    <w:p>
      <w:pPr>
        <w:pStyle w:val="Heading1"/>
      </w:pPr>
      <w:r>
        <w:t>Fridlysta arter</w:t>
      </w:r>
    </w:p>
    <w:p>
      <w:r>
        <w:t>Följande fridlysta arter har sina livsmiljöer och växtplatser i den avverkningsanmälda skogen: spillkråka (NT, §4), kungsfågel (§4), vanlig groda (§6) och fläcknycklar (§8).</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Spillkråka (NT, §4)</w:t>
      </w:r>
      <w:r>
        <w:t xml:space="preserve"> är rödlistad som nära hotad och ingår i bilaga 1 i EU:s fågeldirektiv. Den minskar i population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(SLU Artdatabanken, 2023).</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11 naturvårdsarter varav 8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Spillkråka – ekologi samt krav på livsmiljön</w:t>
      </w:r>
    </w:p>
    <w:p>
      <w:r>
        <w:t>Spillkråka (NT) är rödlistad som nära hotad, fridlyst enligt §4 Artskyddsförordningen och ingår i bilaga 1 i EU:s fågeldirektiv. Spillkråka lever i både barr- och blandskog liksom i ren lövskog. De tätaste populationerna tenderar att finnas i äldre, variationsrik blandskog med gott om död ved och gamla träd.</w:t>
      </w:r>
    </w:p>
    <w:p>
      <w:r>
        <w:t>Varje par utnyttjar 400–1000 hektar skog beroende på skogens kvalitet. En minskning av populationen pågår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(Artdatabanken 2023).</w:t>
      </w:r>
    </w:p>
    <w:p>
      <w:pPr>
        <w:pStyle w:val="Heading2"/>
      </w:pPr>
      <w:r>
        <w:t>Referenser – spillkråka</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2025-07-08</w:t>
      <w:br/>
      <w:br/>
    </w:r>
    <w:r>
      <w:t>Till: Allmännings- och besparingsskogar</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