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38582-2023 i Älvdalens kommun</w:t>
      </w:r>
    </w:p>
    <w:p>
      <w:r>
        <w:t>Denna tillsynsbegäran behandlar höga naturvärden i avverkningsanmälan A 38582-2023 i Älvdalens kommun som inkom 2023-08-24 och omfattar 4,4 ha.</w:t>
      </w:r>
    </w:p>
    <w:p>
      <w:pPr>
        <w:pStyle w:val="Caption"/>
      </w:pPr>
      <w:r>
        <w:drawing>
          <wp:inline xmlns:a="http://schemas.openxmlformats.org/drawingml/2006/main" xmlns:pic="http://schemas.openxmlformats.org/drawingml/2006/picture">
            <wp:extent cx="5486400" cy="4607822"/>
            <wp:docPr id="1" name="Picture 1"/>
            <wp:cNvGraphicFramePr>
              <a:graphicFrameLocks noChangeAspect="1"/>
            </wp:cNvGraphicFramePr>
            <a:graphic>
              <a:graphicData uri="http://schemas.openxmlformats.org/drawingml/2006/picture">
                <pic:pic>
                  <pic:nvPicPr>
                    <pic:cNvPr id="0" name="A 38582-2023 karta.png"/>
                    <pic:cNvPicPr/>
                  </pic:nvPicPr>
                  <pic:blipFill>
                    <a:blip r:embed="rId16"/>
                    <a:stretch>
                      <a:fillRect/>
                    </a:stretch>
                  </pic:blipFill>
                  <pic:spPr>
                    <a:xfrm>
                      <a:off x="0" y="0"/>
                      <a:ext cx="5486400" cy="460782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6855492, E 387012 i SWEREF 99 TM.</w:t>
      </w:r>
    </w:p>
    <w:p>
      <w:r>
        <w:t>I och inom 7 meter från avverkningsanmälan finns fynd av 10 naturvårdsarter, varav 9 är rödlistade, 2 är fridlysta, 6 är typiska (T) och 1 är signalart (S): gräddporing (VU, T), blanksvart spiklav (NT), blå taggsvamp (NT, T), dropptaggsvamp (NT, T), kolflarnlav (NT, T), mörk kolflarnlav (NT), skarp dropptaggsvamp (NT), varglav (NT, §8), vedskivlav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blå taggsvamp (NT, T), dropptaggsvamp (NT, T), kolflarnlav (NT, T), vedskivlav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