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20 meter från avverkningsanmälan finns fynd av 24 naturvårdsarter, varav 15 är rödlistade, 10 är fridlysta, 14 är typiska (T) och 2 är signalarter (S): garnlav (VU, T), blanksvart spiklav (NT), dropptaggsvamp (NT, T), dvärgbägarlav (NT, T), kolflarnlav (NT, T), mörk kolflarnlav (NT), skogshare (NT), slåtterfibbla (NT, T), svartvit taggsvamp (NT), talltagel (NT, T), tallticka (NT, T), talltita (NT, §4), tretåig hackspett (NT, T, §4), vedflamlav (NT), vedskivlav (NT, T), mindre märgborre (S,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