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28823-2023 i Älvdalens kommun</w:t>
      </w:r>
    </w:p>
    <w:p>
      <w:r>
        <w:t>Detta dokument behandlar höga naturvärden i avverkningsanmälan A 28823-2023 i Älvdalens kommun. Denna avverkningsanmälan inkom 2023-06-27 09:17:28 och omfattar 9,8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fläckporing (VU), smalfotad taggsvamp (VU), blå taggsvamp (NT), garnlav (NT), kolflarnlav (NT), mörk kolflarnlav (NT), skrovlig taggsvamp (NT), svartvit taggsvamp (NT), talltaggsvamp (NT), talltita (NT, §4), varglav (NT, §8), vedflamlav (NT), dropptaggsvamp (S), mindre märgborre (S) och plattlummer (S, §9).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0736"/>
            <wp:docPr id="1" name="Picture 1"/>
            <wp:cNvGraphicFramePr>
              <a:graphicFrameLocks noChangeAspect="1"/>
            </wp:cNvGraphicFramePr>
            <a:graphic>
              <a:graphicData uri="http://schemas.openxmlformats.org/drawingml/2006/picture">
                <pic:pic>
                  <pic:nvPicPr>
                    <pic:cNvPr id="0" name="A 28823-2023 karta.png"/>
                    <pic:cNvPicPr/>
                  </pic:nvPicPr>
                  <pic:blipFill>
                    <a:blip r:embed="rId16"/>
                    <a:stretch>
                      <a:fillRect/>
                    </a:stretch>
                  </pic:blipFill>
                  <pic:spPr>
                    <a:xfrm>
                      <a:off x="0" y="0"/>
                      <a:ext cx="5486400" cy="46707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6860323, E 372240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Fridlysta arter</w:t>
      </w:r>
    </w:p>
    <w:p>
      <w:r>
        <w:t>Följande fridlysta arter har sina livsmiljöer och växtplatser i den avverkningsanmälda skogen: talltita (NT, §4), varglav (NT, §8)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