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45783-2022 i Älvdalens kommun</w:t>
      </w:r>
    </w:p>
    <w:p>
      <w:r>
        <w:t>Denna tillsynsbegäran behandlar höga naturvärden i avverkningsanmälan A 45783-2022 i Älvdalens kommun som inkom 2022-10-12 och omfattar 9,1 ha.</w:t>
      </w:r>
    </w:p>
    <w:p>
      <w:pPr>
        <w:pStyle w:val="Caption"/>
      </w:pPr>
      <w:r>
        <w:drawing>
          <wp:inline xmlns:a="http://schemas.openxmlformats.org/drawingml/2006/main" xmlns:pic="http://schemas.openxmlformats.org/drawingml/2006/picture">
            <wp:extent cx="5486400" cy="4911365"/>
            <wp:docPr id="1" name="Picture 1"/>
            <wp:cNvGraphicFramePr>
              <a:graphicFrameLocks noChangeAspect="1"/>
            </wp:cNvGraphicFramePr>
            <a:graphic>
              <a:graphicData uri="http://schemas.openxmlformats.org/drawingml/2006/picture">
                <pic:pic>
                  <pic:nvPicPr>
                    <pic:cNvPr id="0" name="A 45783-2022 karta.png"/>
                    <pic:cNvPicPr/>
                  </pic:nvPicPr>
                  <pic:blipFill>
                    <a:blip r:embed="rId16"/>
                    <a:stretch>
                      <a:fillRect/>
                    </a:stretch>
                  </pic:blipFill>
                  <pic:spPr>
                    <a:xfrm>
                      <a:off x="0" y="0"/>
                      <a:ext cx="5486400" cy="4911365"/>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6795415, E 455060 i SWEREF 99 TM.</w:t>
      </w:r>
    </w:p>
    <w:p>
      <w:r>
        <w:t>I och inom 24 meter från avverkningsanmälan finns fynd av 10 naturvårdsarter, varav 5 är rödlistade, 6 är fridlysta, 9 är typiska (T) och 2 är signalarter (S): garnlav (VU, T), knärot (VU, T, §8), lunglav (NT, T), tretåig hackspett (NT, T, §4), violettgrå tagellav (NT, T), korallrot (S, T, §8), spindelblomster (S, T, §8), tjäder (T, §4), torta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2.02 ha med buffertzonerna och får av detta skäl inte avverkas.</w:t>
      </w:r>
    </w:p>
    <w:p>
      <w:pPr>
        <w:pStyle w:val="Caption"/>
      </w:pPr>
      <w:r>
        <w:drawing>
          <wp:inline xmlns:a="http://schemas.openxmlformats.org/drawingml/2006/main" xmlns:pic="http://schemas.openxmlformats.org/drawingml/2006/picture">
            <wp:extent cx="5486400" cy="4773734"/>
            <wp:docPr id="2" name="Picture 2"/>
            <wp:cNvGraphicFramePr>
              <a:graphicFrameLocks noChangeAspect="1"/>
            </wp:cNvGraphicFramePr>
            <a:graphic>
              <a:graphicData uri="http://schemas.openxmlformats.org/drawingml/2006/picture">
                <pic:pic>
                  <pic:nvPicPr>
                    <pic:cNvPr id="0" name="A 45783-2022 karta knärot.png"/>
                    <pic:cNvPicPr/>
                  </pic:nvPicPr>
                  <pic:blipFill>
                    <a:blip r:embed="rId17"/>
                    <a:stretch>
                      <a:fillRect/>
                    </a:stretch>
                  </pic:blipFill>
                  <pic:spPr>
                    <a:xfrm>
                      <a:off x="0" y="0"/>
                      <a:ext cx="5486400" cy="477373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6795415, E 455060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 xml:space="preserve">Torta </w:t>
      </w:r>
      <w:r>
        <w:t xml:space="preserve">är typisk art för </w:t>
      </w:r>
      <w:r>
        <w:rPr>
          <w:i/>
        </w:rPr>
        <w:t xml:space="preserve">9050 Näringsrik granskog </w:t>
      </w:r>
      <w:r>
        <w:t xml:space="preserve">och </w:t>
      </w:r>
      <w:r>
        <w:rPr>
          <w:i/>
        </w:rPr>
        <w:t xml:space="preserve">9040 Fjällbjörkskog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lunglav (NT, T), tretåig hackspett (NT, T, §4), violettgrå tagellav (NT, T), korallrot (S, T, §8), spindelblomster (S, T, §8), tjäder (T, §4) och torta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