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4832-2026 i Älvdalens kommun</w:t>
      </w:r>
    </w:p>
    <w:p>
      <w:r>
        <w:t>Denna tillsynsbegäran behandlar höga naturvärden i avverkningsanmälan A 4832-2026 i Älvdalens kommun som inkom 2026-01-26 och omfattar 36,0 ha.</w:t>
      </w:r>
    </w:p>
    <w:p>
      <w:pPr>
        <w:pStyle w:val="Caption"/>
      </w:pPr>
      <w:r>
        <w:drawing>
          <wp:inline xmlns:a="http://schemas.openxmlformats.org/drawingml/2006/main" xmlns:pic="http://schemas.openxmlformats.org/drawingml/2006/picture">
            <wp:extent cx="5402820" cy="5724000"/>
            <wp:docPr id="1" name="Picture 1"/>
            <wp:cNvGraphicFramePr>
              <a:graphicFrameLocks noChangeAspect="1"/>
            </wp:cNvGraphicFramePr>
            <a:graphic>
              <a:graphicData uri="http://schemas.openxmlformats.org/drawingml/2006/picture">
                <pic:pic>
                  <pic:nvPicPr>
                    <pic:cNvPr id="0" name="A 4832-2026 karta.png"/>
                    <pic:cNvPicPr/>
                  </pic:nvPicPr>
                  <pic:blipFill>
                    <a:blip r:embed="rId16"/>
                    <a:stretch>
                      <a:fillRect/>
                    </a:stretch>
                  </pic:blipFill>
                  <pic:spPr>
                    <a:xfrm>
                      <a:off x="0" y="0"/>
                      <a:ext cx="5402820"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6798727, E 427171 i SWEREF 99 TM.</w:t>
      </w:r>
    </w:p>
    <w:p>
      <w:r>
        <w:t>I och inom 15 meter från avverkningsanmälan finns fynd av 33 naturvårdsarter, varav 19 är rödlistade, 13 är fridlysta, 21 är typiska (T) och 5 är signalarter (S): fläckporing (VU, T), garnlav (VU, T), knärot (VU, T, §8), blågrå svartspik (NT), dropptaggsvamp (NT, T), dvärgbägarlav (NT, T), kolflarnlav (NT, T), kådvaxskinn (NT), mörk kolflarnlav (NT), skogshare (NT), stjärntagging (NT, T), talltagel (NT, T), talltita (NT, §4), tretåig hackspett (NT, T, §4), varglav (NT, §8), vedflamlav (NT), vedskivlav (NT, T), vedtrappmossa (NT, T), vitgrynig nållav (NT), mindre märgborre (S, T), plattlummer (S, T, §9), spindelblomster (S, T, §8), stuplav (S, T), ögonpyrola (S, T), gråspett (T, §4), linnea (T), spillkråka (T, §4), sälg (T), tjäder (T, §4), kungsfågel (§4), svartvit flugsnappare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254501"/>
            <wp:docPr id="2" name="Picture 2"/>
            <wp:cNvGraphicFramePr>
              <a:graphicFrameLocks noChangeAspect="1"/>
            </wp:cNvGraphicFramePr>
            <a:graphic>
              <a:graphicData uri="http://schemas.openxmlformats.org/drawingml/2006/picture">
                <pic:pic>
                  <pic:nvPicPr>
                    <pic:cNvPr id="0" name="A 4832-2026 karta knärot.png"/>
                    <pic:cNvPicPr/>
                  </pic:nvPicPr>
                  <pic:blipFill>
                    <a:blip r:embed="rId17"/>
                    <a:stretch>
                      <a:fillRect/>
                    </a:stretch>
                  </pic:blipFill>
                  <pic:spPr>
                    <a:xfrm>
                      <a:off x="0" y="0"/>
                      <a:ext cx="5486400" cy="52545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6798727, E 427171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dropptaggsvamp (NT, T), dvärgbägarlav (NT, T), kolflarnlav (NT, T), stjärntagging (NT, T), talltagel (NT, T), tretåig hackspett (NT, T, §4), vedskivlav (NT, T), vedtrappmossa (NT, T), mindre märgborre (S, T), plattlummer (S, T, §9), spindelblomster (S, T, §8), stuplav (S, T), ögonpyrola (S, T), gråspett (T, §4), linnea (T), spillkråka (T, §4), sälg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