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30105-2026 i Älvdalens kommun</w:t>
      </w:r>
    </w:p>
    <w:p>
      <w:r>
        <w:t>Denna tillsynsbegäran behandlar höga naturvärden i avverkningsanmälan A 30105-2026 i Älvdalens kommun som inkom 2026-07-03 och omfattar 3,1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30105-2026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6840126, E 414928 i SWEREF 99 TM.</w:t>
      </w:r>
    </w:p>
    <w:p>
      <w:r>
        <w:t>I och inom 24 meter från avverkningsanmälan finns fynd av 16 naturvårdsarter, varav 14 är rödlistade, 3 är fridlysta, 8 är typiska (T) och 1 är signalart (S): garnlav (VU, T), blanksvart spiklav (NT), blågrå svartspik (NT), dvärgbägarlav (NT, T), kolflarnlav (NT, T), kortskaftad ärgspik (NT), mörk kolflarnlav (NT), nordtagging (NT), rödbrun blekspik (NT, T), tretåig hackspett (NT, T, §4), varglav (NT, §8), vedflamlav (NT), vedskivlav (NT, T), vitgrynig nållav (NT), nästlav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dvärgbägarlav (NT, T), kolflarnlav (NT, T), rödbrun blekspik (NT, T), tretåig hackspett (NT, T, §4), vedskivlav (NT, T), nästlav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