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klagomål behandlar höga naturvärden i avverkningsanmälan A 53732-2025 i Älvdalens kommun som inkom 2025-10-30 och omfattar 28,1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6838996, E 407276 i SWEREF 99 TM.</w:t>
      </w:r>
    </w:p>
    <w:p>
      <w:r>
        <w:t>I och inom 22 meter från avverkningsanmälan finns fynd av 19 naturvårdsarter, varav 16 är rödlistade, 5 är fridlysta, 13 är typiska (T) och 1 är signalart (S): mosippa (EN, T, §8), garnlav (VU, T), raggbock (VU, T), skrovlig taggsvamp (VU), blå taggsvamp (NT, T), dropptaggsvamp (NT, T), dvärgbägarlav (NT, T), kolflarnlav (NT, T), motaggsvamp (NT, T), mörk kolflarnlav (NT), orange taggsvamp (NT, T), skarp dropptaggsvamp (NT), talltita (NT, §4), tretåig hackspett (NT, T, §4),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