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37730-2023 i Älvdalens kommun</w:t>
      </w:r>
    </w:p>
    <w:p>
      <w:r>
        <w:t>Detta dokument behandlar höga naturvärden i avverkningsanmälan A 37730-2023 i Älvdalens kommun. Denna avverkningsanmälan inkom 2023-08-21 00:00:00 och omfattar 5,4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12 naturvårdsarter hittats: knärot (VU, §8), garnlav (NT), mörk kolflarnlav (NT), spillkråka (NT, §4), tretåig hackspett (NT, §4), violettgrå tagellav (NT), vitgrynig nållav (NT), bronshjon (S), dropptaggsvamp (S), luddlav (S), tallfingersvamp (S) och revlummer (§9). Av dessa är 7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499794"/>
            <wp:docPr id="1" name="Picture 1"/>
            <wp:cNvGraphicFramePr>
              <a:graphicFrameLocks noChangeAspect="1"/>
            </wp:cNvGraphicFramePr>
            <a:graphic>
              <a:graphicData uri="http://schemas.openxmlformats.org/drawingml/2006/picture">
                <pic:pic>
                  <pic:nvPicPr>
                    <pic:cNvPr id="0" name="A 37730-2023 karta.png"/>
                    <pic:cNvPicPr/>
                  </pic:nvPicPr>
                  <pic:blipFill>
                    <a:blip r:embed="rId16"/>
                    <a:stretch>
                      <a:fillRect/>
                    </a:stretch>
                  </pic:blipFill>
                  <pic:spPr>
                    <a:xfrm>
                      <a:off x="0" y="0"/>
                      <a:ext cx="5486400" cy="349979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6820431, E 446235 i SWEREF 99 TM.</w:t>
      </w:r>
    </w:p>
    <w:p>
      <w:r>
        <w:rPr>
          <w:b/>
        </w:rPr>
        <w:t>Bronshjon</w:t>
      </w:r>
      <w:r>
        <w:t xml:space="preserve"> är en skalbagge vars larvutveckling sker under grov bark på stammar av döda eller döende barrträd, främst gran, i mindre omfattning tall. Arten är knuten till äldre, naturskogslik granskog med inslag av torkande träd. Bronshjon är typisk art för </w:t>
      </w:r>
      <w:r>
        <w:rPr>
          <w:i/>
        </w:rPr>
        <w:t>9010 Taiga</w:t>
      </w:r>
      <w:r>
        <w:t xml:space="preserve"> (SLU Artdatabanken, 2025).</w:t>
      </w:r>
    </w:p>
    <w:p>
      <w:r>
        <w:rPr>
          <w:b/>
        </w:rPr>
        <w:t>Dropptaggsvamp (NT)</w:t>
      </w:r>
      <w:r>
        <w:t xml:space="preserve"> bildar mykorrhiza med tall, främst i barrskog med trädkontinuitet, i magra, torra och ljusöppna lavtallskogar och i barrblandskogar med friskmossor och lingon i fältskiktet. Den totala populationen i landet har minskat och bedöms fortsätta minska till följd av slutavverkningar av tallskog. Det är högst oklart om arten långsiktigt kan etablera och reproducera sig i skogsbestånd som brukas med trakthyggesmetoder, markberedning, gödsling eller föryngring med förädlat plantmaterial. Uppfyller kriterierna för att bli rödlistad på grund av ny kunskap som visar att en större andel av populationen än tidigare bedömt är knuten till kontinuitetsbarrskog. Minskningstakten för den svenska populationen bedöms vara nära gränsvärdet för Sårbar (VU). Dropptaggsvamp är typisk art för </w:t>
      </w:r>
      <w:r>
        <w:rPr>
          <w:i/>
        </w:rPr>
        <w:t xml:space="preserve">9010 Taiga </w:t>
      </w:r>
      <w:r>
        <w:t>(SLU Artdatabanken, 2026).</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Luddlav</w:t>
      </w:r>
      <w:r>
        <w:t xml:space="preserve"> signalerar lång skoglig kontinuitet med ett stabilt lokal- och mikroklimat med hög och jämn fuktighet. Luddlav är typisk art för </w:t>
      </w:r>
      <w:r>
        <w:rPr>
          <w:i/>
        </w:rPr>
        <w:t>9010 Taiga,</w:t>
      </w:r>
      <w:r>
        <w:t xml:space="preserve"> </w:t>
      </w:r>
      <w:r>
        <w:rPr>
          <w:i/>
        </w:rPr>
        <w:t xml:space="preserve">9020 Nordlig ädellövskog, 9070 Trädklädd betesmark, 9110 Näringsfattig bokskog, 9180 Ädellövskog i branter </w:t>
      </w:r>
      <w:r>
        <w:t>och</w:t>
      </w:r>
      <w:r>
        <w:rPr>
          <w:i/>
        </w:rPr>
        <w:t xml:space="preserve"> 9190 Näringsfattig ekskog </w:t>
      </w:r>
      <w:r>
        <w:t>(Nitare &amp; Skogsstyrelsen, 2019; SLU Artdatabanken, 2025).</w:t>
      </w:r>
    </w:p>
    <w:p>
      <w:r>
        <w:rPr>
          <w:b/>
        </w:rPr>
        <w:t>Mörk kolflarnlav (NT)</w:t>
      </w:r>
      <w:r>
        <w:t xml:space="preserve"> är brandberoende och växer nästan uteslutande på kolad hård kärnved av tall. Arten förekommer främst i glesa, öppna tall- och blandbarrskogar av naturskogskaraktär och etableringen verkar ske sent efter brand, kanske först efter 100–300 år. Mörk kolflarnlav indikerar skog med höga naturvärden och vanligast är att den påträffas på rester av nedbrunna torrakor och högstubbar och lågstubbar som är så grova att hela innandömet är urbränt. Tall- och blandbarrskogar av naturskogskaraktär med spår av återkommande bränder hyser höga biologiska värden och bör skyddas (SLU Artdatabanken, 2024).</w:t>
      </w:r>
    </w:p>
    <w:p>
      <w:r>
        <w:rPr>
          <w:b/>
        </w:rPr>
        <w:t xml:space="preserve">Tallfingersvamp (NT) </w:t>
      </w:r>
      <w:r>
        <w:t>bildar mykorrhiza med tall och gran i äldre barrskog, framför allt sandtallskog men även i annan näringsfattig barrskog, huvudsakligen i äldre kontinuitetsskog. Den totala populationen i landet har minskat och bedöms fortsätta minska till följd av avverkning av barrskogar med trädkontinuitet. Minskningstakten för den svenska populationen bedöms vara nära gränsvärdet för Sårbar (VU). Slutavverkning, gödsling eller exploatering måste undvikas (SLU Artdatabanken, 2026).</w:t>
      </w:r>
    </w:p>
    <w:p>
      <w:r>
        <w:rPr>
          <w:b/>
        </w:rPr>
        <w:t>Violettgrå tagellav (NT)</w:t>
      </w:r>
      <w:r>
        <w:t xml:space="preserve"> växer nästan uteslutande i gamla olikåldriga barrnaturskogar med lång skoglig kontinuitet och är en utmärkt signal på skog med höga naturvärden. Slutavverkning av tidigare aldrig slutavverkad skog (kontinuitetsskog) är det största hotet. Biotopen nyskapas i begränsad omfattning och barrskog äldre än 160 år, där den violettgrå tagellaven huvudsakligen påträffas har minskat med 50% de senaste 50 åren. Lågproduktiv skogsmark där laven förekommer bör undantas från skogsbruk och rika förekomster i äldre granskog bör skyddas. Arten är känslig för uttorkning och det är väsentligt att tillräckligt stora bestånd avsätts. Violettgrå tagellav är typisk art för </w:t>
      </w:r>
      <w:r>
        <w:rPr>
          <w:i/>
        </w:rPr>
        <w:t>9010 Taiga</w:t>
      </w:r>
      <w:r>
        <w:t xml:space="preserve"> (SLU Artdatabanken, 2024; Nitare &amp; Skogsstyrelsen, 2019).</w:t>
      </w:r>
    </w:p>
    <w:p>
      <w:r>
        <w:rPr>
          <w:b/>
        </w:rPr>
        <w:t>Vitgrynig nållav (NT)</w:t>
      </w:r>
      <w:r>
        <w:t xml:space="preserve"> växer nästan uteslutande på bark av gamla, senvuxna granar i skuggiga lägen med hög och jämn luftfuktighet. Den vanligaste naturtypen för arten är kontinuitetsskogar på frisk mark men den finns också i sumpgranskogar. På lång sikt utgör avverkningar av olikåldriga granskogar av naturskogskaraktär ett allvarligt hot mot arten och skogsbruksåtgärder på eller i närheten av växtplatserna bör undvikas. Naturskogsartade, fuktiga granskogar med förekomster av arten signalerar höga biologiska värden och bör bevaras (SLU Artdatabanken, 2024; Nitare &amp; Skogsstyrelsen, 2019).</w:t>
      </w:r>
    </w:p>
    <w:p>
      <w:pPr>
        <w:pStyle w:val="Heading1"/>
      </w:pPr>
      <w:r>
        <w:t>Fridlysta arter</w:t>
      </w:r>
    </w:p>
    <w:p>
      <w:r>
        <w:t>Följande fridlysta arter har sina livsmiljöer och växtplatser i den avverkningsanmälda skogen: knärot (VU, §8), spillkråka (NT, §4), tretåig hackspett (NT, §4) och revlummer (§9).</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4 fyndplatser för knärot registrerade på Artportalen. Figur 2 visar gränserna för buffertzoner på 50 m, som behöver lämnas kring fyndplatserna för att knärotslokalerna inte ska försvinna vid en avverkning. Av det avverkningsanmälda området överlappar 0.84 ha med buffertzonerna och får av detta skäl inte avverkas.</w:t>
      </w:r>
    </w:p>
    <w:p>
      <w:pPr>
        <w:pStyle w:val="Caption"/>
      </w:pPr>
      <w:r>
        <w:drawing>
          <wp:inline xmlns:a="http://schemas.openxmlformats.org/drawingml/2006/main" xmlns:pic="http://schemas.openxmlformats.org/drawingml/2006/picture">
            <wp:extent cx="5486400" cy="4072812"/>
            <wp:docPr id="2" name="Picture 2"/>
            <wp:cNvGraphicFramePr>
              <a:graphicFrameLocks noChangeAspect="1"/>
            </wp:cNvGraphicFramePr>
            <a:graphic>
              <a:graphicData uri="http://schemas.openxmlformats.org/drawingml/2006/picture">
                <pic:pic>
                  <pic:nvPicPr>
                    <pic:cNvPr id="0" name="A 37730-2023 karta knärot.png"/>
                    <pic:cNvPicPr/>
                  </pic:nvPicPr>
                  <pic:blipFill>
                    <a:blip r:embed="rId17"/>
                    <a:stretch>
                      <a:fillRect/>
                    </a:stretch>
                  </pic:blipFill>
                  <pic:spPr>
                    <a:xfrm>
                      <a:off x="0" y="0"/>
                      <a:ext cx="5486400" cy="4072812"/>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6820431, E 446235 i SWEREF 99 TM.</w:t>
      </w:r>
    </w:p>
    <w:p>
      <w:pPr>
        <w:pStyle w:val="Caption"/>
      </w:pPr>
    </w:p>
    <w:p>
      <w:r>
        <w:rPr>
          <w:b/>
        </w:rPr>
        <w:t>Spillkråka (§4)</w:t>
      </w:r>
      <w:r>
        <w:t xml:space="preserve"> omfattas av bilaga 1 i EU:s fågeldirektiv och är typisk art för </w:t>
      </w:r>
      <w:r>
        <w:rPr>
          <w:i/>
        </w:rPr>
        <w:t xml:space="preserve">9010 Taiga </w:t>
      </w:r>
      <w:r>
        <w:t>och</w:t>
      </w:r>
      <w:r>
        <w:rPr>
          <w:i/>
        </w:rPr>
        <w:t xml:space="preserve"> 9740 Skogsbevuxen myr</w:t>
      </w:r>
      <w:r>
        <w:t>. Den behöver grova träd, främst tall, asp och bok som boträd. Skogsbruk med korta omloppstider och täta, homogena ungskogar utgör det största hotet. 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(SLU Artdatabanken, 2026; Skogsstyrelsen, 2016).</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Tretåig hackspett är typisk art för </w:t>
      </w:r>
      <w:r>
        <w:rPr>
          <w:i/>
        </w:rPr>
        <w:t xml:space="preserve">9010 Taiga, 9740 Skogsbevuxen myr, 9030 Landhöjningsskog </w:t>
      </w:r>
      <w:r>
        <w:t xml:space="preserve">och </w:t>
      </w:r>
      <w:r>
        <w:rPr>
          <w:i/>
        </w:rPr>
        <w:t>9040 Fjällbjörkskog</w:t>
      </w:r>
      <w:r>
        <w:t xml:space="preserve"> (Skogsstyrelsen, 2016; SLU Artdatabanken, 2024).</w:t>
      </w: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pPr>
        <w:pStyle w:val="Heading1"/>
      </w:pPr>
      <w:r>
        <w:t>Spillkråka – ekologi samt krav på livsmiljön</w:t>
      </w:r>
    </w:p>
    <w:p>
      <w:r>
        <w:t xml:space="preserve">Spillkråka (§4) ingår i bilaga 1 EU:s fågeldirektiv och är typisk art för </w:t>
      </w:r>
      <w:r>
        <w:rPr>
          <w:i/>
        </w:rPr>
        <w:t xml:space="preserve">9010 Taiga </w:t>
      </w:r>
      <w:r>
        <w:t>och</w:t>
      </w:r>
      <w:r>
        <w:rPr>
          <w:i/>
        </w:rPr>
        <w:t xml:space="preserve"> 9740 Skogsbevuxen myr</w:t>
      </w:r>
      <w:r>
        <w:t>. Den lever i både barr- och blandskog liksom i ren lövskog. De tätaste populationerna tenderar att finnas i äldre, variationsrik blandskog med gott om död ved och gamla träd. Varje par utnyttjar 400–1000 hektar skog beroende på skogens kvalitet. Skogsbruk med korta omloppstider och täta, homogena ungskogar utgör det största hotet (SLU Artdatabanken, 2026).</w:t>
      </w:r>
    </w:p>
    <w:p>
      <w:r>
        <w:t>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(Skogsstyrelsen, 2016).</w:t>
      </w:r>
    </w:p>
    <w:p>
      <w:pPr>
        <w:pStyle w:val="Heading2"/>
      </w:pPr>
      <w:r>
        <w:t>Referenser – spillkråka</w:t>
      </w:r>
    </w:p>
    <w:p>
      <w:r>
        <w:t xml:space="preserve">Skogsstyrelsen, 2016. </w:t>
      </w:r>
      <w:r>
        <w:rPr>
          <w:i/>
        </w:rPr>
        <w:t xml:space="preserve">Vägledning för hänsyn till spillkråka. </w:t>
      </w:r>
      <w:r>
        <w:t>Vägledningar och kunskapsstöd artskydd – Skogsstyrelsen.</w:t>
      </w:r>
    </w:p>
    <w:p>
      <w:r>
        <w:t xml:space="preserve">SLU Artdatabanken, 2026.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r>
        <w:t xml:space="preserve"> (SLU Artdatabanken, 2024; Skogsstyrelsen, 2016)</w:t>
      </w:r>
      <w:r>
        <w:rPr>
          <w:i/>
        </w:rPr>
        <w: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(SLU Artdatabanken, 2024; Skogsstyrelsen, 2016).</w:t>
      </w:r>
    </w:p>
    <w:p>
      <w:r>
        <w:t xml:space="preserve">Förutom fridlysning enligt §4 Artskyddsförordningen är tretåig hackspett även förtecknad i EU:s fågeldirektiv bilaga 1. Den är typisk art för </w:t>
      </w:r>
      <w:r>
        <w:rPr>
          <w:i/>
        </w:rPr>
        <w:t xml:space="preserve">9010 Taiga, 9740 Skogsbevuxen myr, 9030 Landhöjningsskog </w:t>
      </w:r>
      <w:r>
        <w:t xml:space="preserve">och </w:t>
      </w:r>
      <w:r>
        <w:rPr>
          <w:i/>
        </w:rPr>
        <w:t>9040 Fjällbjörkskog</w:t>
      </w:r>
      <w:r>
        <w:t xml:space="preserve"> samt ingår i Natura 2000 och är förtecknad i Bernkonventionen bilaga II (strikt skyddade djurarter) (SLU Artdatabanken, 2024; Skogsstyrelsen, 2016).</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Vägledning för hänsyn till fåglar – Tretåig hackspett.</w:t>
      </w:r>
    </w:p>
    <w:p>
      <w:r>
        <w:t xml:space="preserve">SLU Artdatabanken, 2024. </w:t>
      </w:r>
      <w:r>
        <w:rPr>
          <w:i/>
        </w:rPr>
        <w:t xml:space="preserve">Artfaktablad. Naturvård – artfakta. </w:t>
      </w:r>
      <w:r>
        <w:t>SLU Artdatabanken, Uppsala.</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2026-05-01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