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46800-2025 i Älvdalens kommun</w:t>
      </w:r>
    </w:p>
    <w:p>
      <w:r>
        <w:t>Detta klagomål behandlar höga naturvärden i avverkningsanmälan A 46800-2025 i Älvdalens kommun som inkom 2025-09-26 och omfattar 38,5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6788304, E 421572 i SWEREF 99 TM.</w:t>
      </w:r>
    </w:p>
    <w:p>
      <w:r>
        <w:t>I och inom 18 meter från avverkningsanmälan finns fynd av 20 naturvårdsarter, varav 16 är rödlistade, 5 är fridlysta, 13 är typiska (T) och 1 är signalart (S): Corticeus longulus (VU), garnlav (VU, T), gräddporing (VU, T), blanksvart spiklav (NT), dropptaggsvamp (NT, T), dvärgbägarlav (NT, T), kolflarnlav (NT, T), motaggsvamp (NT, T), mörk kolflarnlav (NT), nordlig nållav (NT), talltagel (NT, T), tallticka (NT, T), tretåig hackspett (NT, T, §4), varglav (NT, §8), vedflamlav (NT), vedskivlav (NT, T), mindre märgborre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