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33487-2025 i Älvdalens kommun</w:t>
      </w:r>
    </w:p>
    <w:p>
      <w:r>
        <w:t>Detta dokument behandlar höga naturvärden i avverkningsanmälan A 33487-2025 i Älvdalens kommun. Denna avverkningsanmälan inkom 2025-07-03 12:07:25 och omfattar 15,2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mosippa (EN, §8), dvärgbägarlav (NT), kolflarnlav (NT), mörk kolflarnlav (NT), talltita (NT, §4), vedflamlav (NT), dropptaggsvamp (S), plattlummer (S, §9) och fläcknycklar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4207"/>
            <wp:docPr id="1" name="Picture 1"/>
            <wp:cNvGraphicFramePr>
              <a:graphicFrameLocks noChangeAspect="1"/>
            </wp:cNvGraphicFramePr>
            <a:graphic>
              <a:graphicData uri="http://schemas.openxmlformats.org/drawingml/2006/picture">
                <pic:pic>
                  <pic:nvPicPr>
                    <pic:cNvPr id="0" name="A 33487-2025 karta.png"/>
                    <pic:cNvPicPr/>
                  </pic:nvPicPr>
                  <pic:blipFill>
                    <a:blip r:embed="rId16"/>
                    <a:stretch>
                      <a:fillRect/>
                    </a:stretch>
                  </pic:blipFill>
                  <pic:spPr>
                    <a:xfrm>
                      <a:off x="0" y="0"/>
                      <a:ext cx="5486400" cy="5654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6852724, E 384660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mosippa (EN, §8), talltita (NT, §4), plattlummer (S, §9)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Mosippa (EN, §8)</w:t>
      </w:r>
      <w:r>
        <w:t xml:space="preserve"> är fridlyst enligt 8 § artskyddsförordningen och omfattas av ett åtgärdsprogram för hotade arter (ÅGP). Den är brandgynnad och växer i öppna sandtallskogar, främst på isälvssediment såsom rullstensåsar och sandfält i en mager vegetation bland renlavar och lingon. Minskningstakten har uppgått till 50 (40–60) % under de senaste 100 åren överstiger gränsvärdet för Starkt hotad (EN) enligt A-kriteriet. (A2ac) (SLU Artdatabanken, 2024;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