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39762-2025 i Älvdalens kommun</w:t>
      </w:r>
    </w:p>
    <w:p>
      <w:r>
        <w:t>Detta dokument behandlar höga naturvärden i avverkningsanmälan A 39762-2025 i Älvdalens kommun. Denna avverkningsanmälan inkom 2025-08-22 10:34:15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långt broktagel (EN), garnlav (NT), spillkråka (NT, §4), tallticka (NT), tretåig hackspett (NT, §4), vedskivlav (NT), violettgrå tagellav (NT), mindre märgborre (S),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39762-2025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6780266, E 441765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Långt broktagel (EN)</w:t>
      </w:r>
      <w:r>
        <w:t xml:space="preserve"> är en starkt hotad busklav som växer på vertikala bergväggar och block av silikat och diabas samt på granar i myrkanter i kontinuitetsskogar dominerade av gran. Lokalerna kännetecknas av mycket hög och jämn luftfuktighet och är belägna i höjdlägen (oftast 450–600 m. ö. h.) i den boreala zonen. Klippförekomsterna är beroende av att den omgivande gamla barrskogen ej försvinner. Arten omfattas av ett åtgärdsprogram för hotade arter (ÅGP). Samtliga lokaler måste skyddas och lämnas för fri utveckling (SLU Artdatabanken, 2024; Hermansson, 2010).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