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31476-2025 i Älvdalens kommun</w:t>
      </w:r>
    </w:p>
    <w:p>
      <w:r>
        <w:t>Detta dokument behandlar höga naturvärden i avverkningsanmälan A 31476-2025 i Älvdalens kommun. Denna avverkningsanmälan inkom 2025-06-25 00:00:00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22 naturvårdsarter hittats: goliatmusseron (VU), gräddporing (VU), smalfotad taggsvamp (VU), spadskinn (VU), tajgataggsvamp (VU), blanksvart spiklav (NT), blå taggsvamp (NT), dvärgbägarlav (NT), garnlav (NT), kolflarnlav (NT), mörk kolflarnlav (NT), nordtagging (NT), orange taggsvamp (NT), svart taggsvamp (NT), svartvit taggsvamp (NT), tallriska (NT), vaddporing (NT), vaxspindling (NT), vedflamlav (NT), vedskivlav (NT), dropptaggsvamp (S) och skarp dropptaggsvamp (S). Av dessa är 20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3857"/>
            <wp:docPr id="1" name="Picture 1"/>
            <wp:cNvGraphicFramePr>
              <a:graphicFrameLocks noChangeAspect="1"/>
            </wp:cNvGraphicFramePr>
            <a:graphic>
              <a:graphicData uri="http://schemas.openxmlformats.org/drawingml/2006/picture">
                <pic:pic>
                  <pic:nvPicPr>
                    <pic:cNvPr id="0" name="A 31476-2025 karta.png"/>
                    <pic:cNvPicPr/>
                  </pic:nvPicPr>
                  <pic:blipFill>
                    <a:blip r:embed="rId16"/>
                    <a:stretch>
                      <a:fillRect/>
                    </a:stretch>
                  </pic:blipFill>
                  <pic:spPr>
                    <a:xfrm>
                      <a:off x="0" y="0"/>
                      <a:ext cx="5486400" cy="2993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6853146, E 406045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Vaxspindling (NT)</w:t>
      </w:r>
      <w:r>
        <w:t xml:space="preserve"> växer främst i äldre skogar på sandig mark där den bildar mykorrhiza med tall, framförallt på sandiga lavtallhedar. Mager, sandig och brandpräglad tallskog med lång trädkontinuitet bör undantas från trakthyggesbruk och inte kalavverkas. De mest värdefulla lokalerna bör få ett långsiktigt skydd med naturvårdsinriktad skötsel. Arten är placerad högst upp i Skogsstyrelsens värdepyramid för bedömning av skog med höga naturvärden och den är globalt rödlistad som nära hotad (NT), vilket medför ett internationellt ansvar för arten (SLU Artdatabanken, 2024; Nitare &amp; Skogsstyrelsen, 2019; IUCN,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