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53355-2024 i Älvdalens kommun</w:t>
      </w:r>
    </w:p>
    <w:p>
      <w:r>
        <w:t>Detta dokument behandlar höga naturvärden i avverkningsanmälan A 53355-2024 i Älvdalens kommun. Denna avverkningsanmälan inkom 2024-11-18 00:00:00 och omfattar 14,0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36 naturvårdsarter hittats: gräddticka (VU), knärot (VU, §8), liten sotlav (VU), rynkskinn (VU), ulltickeporing (VU), doftskinn (NT), gammelgransskål (NT), garnlav (NT), granticka (NT), gränsticka (NT), hornvaxskinn (NT), järpe (NT, §4), knottrig blåslav (NT), kolflarnlav (NT), kortskaftad ärgspik (NT), mörk kolflarnlav (NT), spillkråka (NT, §4), talltita (NT, §4), tretåig hackspett (NT, §4), ullticka (NT), vedflamlav (NT), vedskivlav (NT), violettgrå tagellav (NT), bronshjon (S), brun nållav (S), bårdlav (S), mindre märgborre (S), skuggblåslav (S), spindelblomster (S, §8), thomsons trägnagare (S), trådticka (S), vedticka (S), orre (§4), tjäder (§4), fläcknycklar (§8) och revlummer (§9). Av dessa är 23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67318"/>
            <wp:docPr id="1" name="Picture 1"/>
            <wp:cNvGraphicFramePr>
              <a:graphicFrameLocks noChangeAspect="1"/>
            </wp:cNvGraphicFramePr>
            <a:graphic>
              <a:graphicData uri="http://schemas.openxmlformats.org/drawingml/2006/picture">
                <pic:pic>
                  <pic:nvPicPr>
                    <pic:cNvPr id="0" name="A 53355-2024 karta.png"/>
                    <pic:cNvPicPr/>
                  </pic:nvPicPr>
                  <pic:blipFill>
                    <a:blip r:embed="rId16"/>
                    <a:stretch>
                      <a:fillRect/>
                    </a:stretch>
                  </pic:blipFill>
                  <pic:spPr>
                    <a:xfrm>
                      <a:off x="0" y="0"/>
                      <a:ext cx="5486400" cy="3467318"/>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6783683, E 438607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Gammelgransskål (NT)</w:t>
      </w:r>
      <w:r>
        <w:t xml:space="preserve"> är en liten skålsvamp som växer på gamla granar med skrovlig bark. Typiska växtplatser är gransumpskog i myrkanter, bäckdråg, bäckraviner och skuggiga bergssluttningar, men också skog på torrare mark kan hysa arten om beståndet har stark naturskogskaraktär. Bestånd med arten bör behandlas som nyckelbiotoper och sparas vid en slutavverkning. Även gallring bör undvikas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Hornvaxskinn (NT) </w:t>
      </w:r>
      <w:r>
        <w:t>påträffas på gamla senvuxna, torra och hårda lågor i gamla naturskogsartade eller plockhuggna tallskogar i norra Sverige. Arten hotas av avverkning av naturskogsartade tallskogar och uttag av torrakor till timring av byggnader. Avverkning av naturskogsliknande tallskogar bör ej förekomma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Liten sotlav (VU)</w:t>
      </w:r>
      <w:r>
        <w:t xml:space="preserve"> förekommer i gamla brandrefugiala boreala granskogar där den oftast påträffas på grovbarkiga, senvuxna, mycket gamla granar. Arten är en av de mest krävande arterna i fuktig grannaturskog och är placerad högst upp i Skogsstyrelsens värdepyramid för bedömning av skog med höga naturvärden. Samtliga förekomster bör skyddas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Ulltickeporing </w:t>
      </w:r>
      <w:r>
        <w:rPr>
          <w:b/>
          <w:i/>
        </w:rPr>
        <w:t>Skeletocutis brevispora</w:t>
      </w:r>
      <w:r>
        <w:rPr>
          <w:b/>
        </w:rPr>
        <w:t xml:space="preserve"> (VU)</w:t>
      </w:r>
      <w:r>
        <w:t>,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Violettgrå tagellav (NT)</w:t>
      </w:r>
      <w:r>
        <w:t xml:space="preserve"> växer nästan uteslutande i gamla olikåldriga barrnaturskogar med lång skoglig kontinuitet och är en utmärkt signal på skog med höga naturvärden. Slutavverkning av tidigare aldrig slutavverkad skog (kontinuitetsskog) är det största hotet. Biotopen nyskapas i begränsad omfattning och barrskog äldre än 160 år, där den violettgrå tagellaven huvudsakligen påträffas har minskat med 50% de senaste 50 åren. Lågproduktiv skogsmark där laven förekommer bör undantas från skogsbruk och rika förekomster i äldre granskog bör skyddas. Arten är känslig för uttorkning och det är väsentligt att tillräckligt stora bestånd avsätts (SLU Artdatabanken, 2024; Nitare &amp; Skogsstyrelsen, 2019).</w:t>
      </w:r>
    </w:p>
    <w:p>
      <w:pPr>
        <w:pStyle w:val="Heading1"/>
      </w:pPr>
      <w:r>
        <w:t>Fridlysta arter</w:t>
      </w:r>
    </w:p>
    <w:p>
      <w:r>
        <w:t>Följande fridlysta arter har sina livsmiljöer och växtplatser i den avverkningsanmälda skogen: knärot (VU, §8), järpe (NT, §4), spillkråka (NT, §4), talltita (NT, §4), tretåig hackspett (NT, §4), spindelblomster (S, §8), orre (§4), tjäder (§4), fläcknycklar (§8) och revlummer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Järpe (NT, §4)</w:t>
      </w:r>
      <w:r>
        <w:t>, rödlistad som nära hotad och prioriterad art i Skogsvårdslagen har häckningsrevir i avverkningsanmälan. Arten har minskat med 25 (10–40) % under de senaste 12 åren och är mycket stationär inom sitt revir som är minst 25 hektar stort. Dess livsmiljöer utgörs av tät barrskog med inblandning av lövträd och en väl utvecklad flerskiktad struktur med bärris och yngre eller undertryckta, täta granar i ett lägre skikt, ofta utmed bäckar och åar inne i den skyddande granskogen. Järpen överlever inte om dess livsmiljö kalavverkas och är även känslig för röjning, gallring och avverkning där unga granar och lövträd inte sparas i tillräcklig omfattning (SLU Artdatabanken, 2022).</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 fyndplatser för knärot registrerade på Artportalen. Figur 2 visar gränserna för buffertzoner på 50 m, som behöver lämnas kring fyndplatserna för att knärotslokalerna inte ska försvinna vid en avverkning. Av det avverkningsanmälda området överlappar 2.76 ha med buffertzonerna och får av detta skäl inte avverkas.</w:t>
      </w:r>
    </w:p>
    <w:p>
      <w:pPr>
        <w:pStyle w:val="Caption"/>
      </w:pPr>
      <w:r>
        <w:drawing>
          <wp:inline xmlns:a="http://schemas.openxmlformats.org/drawingml/2006/main" xmlns:pic="http://schemas.openxmlformats.org/drawingml/2006/picture">
            <wp:extent cx="5486400" cy="4028898"/>
            <wp:docPr id="2" name="Picture 2"/>
            <wp:cNvGraphicFramePr>
              <a:graphicFrameLocks noChangeAspect="1"/>
            </wp:cNvGraphicFramePr>
            <a:graphic>
              <a:graphicData uri="http://schemas.openxmlformats.org/drawingml/2006/picture">
                <pic:pic>
                  <pic:nvPicPr>
                    <pic:cNvPr id="0" name="A 53355-2024 karta knärot.png"/>
                    <pic:cNvPicPr/>
                  </pic:nvPicPr>
                  <pic:blipFill>
                    <a:blip r:embed="rId17"/>
                    <a:stretch>
                      <a:fillRect/>
                    </a:stretch>
                  </pic:blipFill>
                  <pic:spPr>
                    <a:xfrm>
                      <a:off x="0" y="0"/>
                      <a:ext cx="5486400" cy="4028898"/>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6783683, E 438607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Järpe – ekologi samt krav på livsmiljön</w:t>
      </w:r>
    </w:p>
    <w:p>
      <w:r>
        <w:t>Järpe är rödlistad som nära hotad (NT), fridlyst enligt 4§ Artskyddsförordningen och prioriterad art i Skogsvårdslagen. Järpen, som minskat med 25 (10–40) % under de senaste 12 åren, har sina livsmiljöer i tät barrskog med inblandning av lövträd och en väl utvecklad flerskiktad struktur med bärris och yngre eller undertryckta, täta granar i ett lägre skikt, ofta utmed bäckar och åar inne i den skyddande granskogen.</w:t>
      </w:r>
    </w:p>
    <w:p>
      <w:r>
        <w:t>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Ulltickeporing – ekologi samt krav på livsmiljön</w:t>
      </w:r>
    </w:p>
    <w:p>
      <w:r>
        <w:t xml:space="preserve">Ulltickeporing </w:t>
      </w:r>
      <w:r>
        <w:rPr>
          <w:i/>
        </w:rPr>
        <w:t>Skeletocutis brevispora</w:t>
      </w:r>
      <w:r>
        <w:t xml:space="preserve"> (VU), rödlistad som sårbar, växer på ullticka (NT) i naturskogsartade granskogar. Avverkning av naturskogslika miljöer och av grova granar där ulltickeporing förekommer är ett direkt hot mot artens fortlevnad Alla skogliga åtgärder som innebär att lågor och döda eller skadade träd tas bort missgynnar arten. På sikt är minskad tillgång till lämpligt substrat och krympande areal av naturskog ett hot, framförallt råder brist på grov ved som lågor i sena nedbrytningsstadier. Ytterligare fragmentering av skogslandskapet minskar artens möjligheter till spridning. Gamla granskogar som hyser arten undantas helt från skogsbruk (SLU Artdatabanken, 2024).</w:t>
      </w:r>
    </w:p>
    <w:p>
      <w:r>
        <w:t xml:space="preserve">Ulltickeporingen har nyligen delats upp i tre olika arter: </w:t>
      </w:r>
      <w:r>
        <w:rPr>
          <w:i/>
        </w:rPr>
        <w:t xml:space="preserve">Skeletocutis brevispora </w:t>
      </w:r>
      <w:r>
        <w:t>(ulltickeporing)</w:t>
      </w:r>
      <w:r>
        <w:rPr>
          <w:i/>
        </w:rPr>
        <w:t>, Skeletocutis delicata och Skeletocutis exilis</w:t>
      </w:r>
      <w:r>
        <w:t xml:space="preserve"> (Miettinen &amp; Niemelä, 2018). Skeletocutis delicata och Skeletocutis exilis står för närvarande (2020) som ej bedömda i rödlistan.</w:t>
      </w:r>
    </w:p>
    <w:p>
      <w:pPr>
        <w:pStyle w:val="Heading2"/>
      </w:pPr>
      <w:r>
        <w:t>Referenser – ulltickeporing</w:t>
      </w:r>
    </w:p>
    <w:p>
      <w:r>
        <w:t xml:space="preserve">Miettinen, O. &amp; Niemelä, T., 2018. </w:t>
      </w:r>
      <w:r>
        <w:rPr>
          <w:i/>
        </w:rPr>
        <w:t>Two new temperate polypore species of Skeletocutis (Polyporales, Basidiomycota)</w:t>
      </w:r>
      <w:r>
        <w:t>. Ann. Bot. Fennici 55: 195–206.</w:t>
      </w:r>
    </w:p>
    <w:p>
      <w:r>
        <w:t xml:space="preserve">SLU Artdatabanken, 2024.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