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63895-2023 i Älvdalens kommun</w:t>
      </w:r>
    </w:p>
    <w:p>
      <w:r>
        <w:t>Detta dokument behandlar höga naturvärden i avverkningsanmälan A 63895-2023 i Älvdalens kommun. Denna avverkningsanmälan inkom 2023-12-18 00:00:00 och omfattar 13,4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16 naturvårdsarter hittats: fläckporing (VU), goliatmusseron (VU), gräddporing (VU), laxgröppa (VU), smalfotad taggsvamp (VU), spadskinn (VU), blanksvart spiklav (NT), blå taggsvamp (NT), kolflarnlav (NT), mörk kolflarnlav (NT), nordtagging (NT), orange taggsvamp (NT), varglav (NT, §8), vedskivlav (NT), vitplätt (NT) och plattlummer (S, §9).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21185"/>
            <wp:docPr id="1" name="Picture 1"/>
            <wp:cNvGraphicFramePr>
              <a:graphicFrameLocks noChangeAspect="1"/>
            </wp:cNvGraphicFramePr>
            <a:graphic>
              <a:graphicData uri="http://schemas.openxmlformats.org/drawingml/2006/picture">
                <pic:pic>
                  <pic:nvPicPr>
                    <pic:cNvPr id="0" name="A 63895-2023 karta.png"/>
                    <pic:cNvPicPr/>
                  </pic:nvPicPr>
                  <pic:blipFill>
                    <a:blip r:embed="rId16"/>
                    <a:stretch>
                      <a:fillRect/>
                    </a:stretch>
                  </pic:blipFill>
                  <pic:spPr>
                    <a:xfrm>
                      <a:off x="0" y="0"/>
                      <a:ext cx="5486400" cy="75211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6852037, E 406871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Laxgröppa (VU)</w:t>
      </w:r>
      <w:r>
        <w:t xml:space="preserve"> är en riktig urskogssvamp som påträffas på grova, starkt murkna, ofta brandskadade liggande stammar av tall, sällan gran i gammal barrskog. Arten missgynnas av skogsbruk och merparten av lokalerna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Spadskinn (VU)</w:t>
      </w:r>
      <w:r>
        <w:t xml:space="preserve"> är knuten till tallskogar med höga naturvärden och artens potentiella miljöer har minskat kraftigt och fortsätter att minska eftersom äldre sandtallskogar avverkas. Mykorrhiza-arter och andra marklevande svampar påverkas starkt negativt av slutavverkning då alla träd avlägsnas. Spadskinn är globalt rödlistad som sårbar (VU) vilket innebär att Sverige har ett internationellt ansvar för arten. Fler områden där arten förekommer behöver skyddas (SLU Artdatabanken, 2024; Nitare &amp; Skogsstyrelsen, 2019; IUCN,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varglav (NT, §8) och plattlummer (S, §9).</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