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41583-2026 i Älvdalens kommun</w:t>
      </w:r>
    </w:p>
    <w:p>
      <w:r>
        <w:t>Detta klagomål behandlar höga naturvärden i avverkningsanmälan A 41583-2026 i Älvdalens kommun som inkom 2026-10-06 och omfattar 8,8 ha.</w:t>
      </w:r>
    </w:p>
    <w:p>
      <w:pPr>
        <w:pStyle w:val="Caption"/>
      </w:pPr>
      <w:r>
        <w:drawing>
          <wp:inline xmlns:a="http://schemas.openxmlformats.org/drawingml/2006/main" xmlns:pic="http://schemas.openxmlformats.org/drawingml/2006/picture">
            <wp:extent cx="5261752" cy="5724000"/>
            <wp:docPr id="1" name="Picture 1"/>
            <wp:cNvGraphicFramePr>
              <a:graphicFrameLocks noChangeAspect="1"/>
            </wp:cNvGraphicFramePr>
            <a:graphic>
              <a:graphicData uri="http://schemas.openxmlformats.org/drawingml/2006/picture">
                <pic:pic>
                  <pic:nvPicPr>
                    <pic:cNvPr id="0" name="A 41583-2026 karta.png"/>
                    <pic:cNvPicPr/>
                  </pic:nvPicPr>
                  <pic:blipFill>
                    <a:blip r:embed="rId16"/>
                    <a:stretch>
                      <a:fillRect/>
                    </a:stretch>
                  </pic:blipFill>
                  <pic:spPr>
                    <a:xfrm>
                      <a:off x="0" y="0"/>
                      <a:ext cx="5261752" cy="5724000"/>
                    </a:xfrm>
                    <a:prstGeom prst="rect"/>
                  </pic:spPr>
                </pic:pic>
              </a:graphicData>
            </a:graphic>
          </wp:inline>
        </w:drawing>
      </w:r>
    </w:p>
    <w:p>
      <w:pPr>
        <w:pStyle w:val="Caption"/>
        <w:spacing w:after="240"/>
      </w:pPr>
      <w:r>
        <w:t>Figur 1. Fyndplatser för naturvårdsarter i och inom 23 meter från avverkningsanmälan. Markörer utan svart kant är placerade på fyndplatsen. Markörer med svart kant är placerade vid sidan av fyndplatsen och har ett svart streck som visar fyndplatsens exakta position. Kartans mittpunktskoordinat är N 6850402, E 407091 i SWEREF 99 TM.</w:t>
      </w:r>
    </w:p>
    <w:p>
      <w:r>
        <w:t>I och inom 23 meter från avverkningsanmälan finns fynd av 19 naturvårdsarter, varav 15 är rödlistade, 4 är fridlysta, 11 är typiska (T) och 2 är signalarter (S): garnlav (VU, T), blanksvart spiklav (NT), blå taggsvamp (NT, T), dropptaggsvamp (NT, T), dvärgbägarlav (NT, T), kolflarnlav (NT, T), mörk kolflarnlav (NT), nordtagging (NT), tallticka (NT, T), talltita (NT, §4), tretåig hackspett (NT, T, §4), vaddporing (NT), vedskivlav (NT, T), vedtrappmossa (NT, T), vitgrynig nållav (NT), plattlummer (S, T, §9), svavelriska (S), kransmossa (T) och revlummer (§9).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Blanksvart spiklav (NT)</w:t>
      </w:r>
      <w:r>
        <w:t xml:space="preserve"> förekommer på torr, hård, gammal kärnved men även på äldre ytved av tall i naturskogsartade bestånd med begränsad brandpåverkan och ostörd hydrologi. Skogsbruksåtgärder på eller i närheten av lokaler med blanksvart spiklav utgör ett hot. Naturskogsartade öppna tall- och barrblandskogar med blanksvart spiklav indikerar höga biologiska värden och bör bevaras (SLU Artdatabanken, 2024).</w:t>
      </w:r>
    </w:p>
    <w:p>
      <w:r>
        <w:rPr>
          <w:b/>
        </w:rPr>
        <w:t xml:space="preserve">Blå taggsvamp (NT) </w:t>
      </w:r>
      <w:r>
        <w:t xml:space="preserve">är en karaktärsart i såväl örtrika kalkbarrskogar som i torra sandtallskogar där det föreligger gammal skog med långvarig trädkontinuitet. Är sällsynt och mycket kravfull i södra och mellersta Sverige. Den hotas främst av skogsavverkning och tycks försvinna efter slutavverkning, markberedning och plantering. I kalkgranskogar verkar arten vara mycket känslig. Granskogar med arten bör formellt skydddas. Blå taggsvamp (NT) är typisk art för </w:t>
      </w:r>
      <w:r>
        <w:rPr>
          <w:i/>
        </w:rPr>
        <w:t>9010 Taiga</w:t>
      </w:r>
      <w:r>
        <w:t xml:space="preserve"> (SLU Artdatabanken, 2024; Nitare &amp; Skogsstyrelsen, 2019).</w:t>
      </w:r>
    </w:p>
    <w:p>
      <w:r>
        <w:rPr>
          <w:b/>
        </w:rPr>
        <w:t>Dropptaggsvamp (NT)</w:t>
      </w:r>
      <w:r>
        <w:t xml:space="preserve"> bildar mykorrhiza med tall, främst i barrskog med trädkontinuitet, i magra, torra och ljusöppna lavtallskogar och i barrblandskogar med friskmossor och lingon i fältskiktet. Den totala populationen i landet har minskat och bedöms fortsätta minska till följd av slutavverkningar av tallskog. Det är högst oklart om arten långsiktigt kan etablera och reproducera sig i skogsbestånd som brukas med trakthyggesmetoder, markberedning, gödsling eller föryngring med förädlat plantmaterial. Uppfyller kriterierna för att bli rödlistad på grund av ny kunskap som visar att en större andel av populationen än tidigare bedömt är knuten till kontinuitetsbarrskog. Minskningstakten för den svenska populationen bedöms vara nära gränsvärdet för Sårbar (VU). Dropptaggsvamp är typisk art för </w:t>
      </w:r>
      <w:r>
        <w:rPr>
          <w:i/>
        </w:rPr>
        <w:t xml:space="preserve">9010 Taiga </w:t>
      </w:r>
      <w:r>
        <w:t>(SLU Artdatabanken, 2026).</w:t>
      </w:r>
    </w:p>
    <w:p>
      <w:r>
        <w:rPr>
          <w:b/>
        </w:rPr>
        <w:t>Dvärgbägarlav (NT)</w:t>
      </w:r>
      <w:r>
        <w:t xml:space="preserve"> förekommer över hela Sverige på gammal hård ved, huvudsakligen på tall men i södra Sverige även på ek. Veden utgörs framförallt av grova stubbar, lågor och grenar. Substratet har blivit sällsyntare och nybildning av substrat sker bara i begränsad omfattning. Arten hotas av att grova lågor blir allt sällsyntare i dagens kulturskogar samt att nybildningen av lämpliga substrat går mycket långsamt. En riklig tillgång på gamla tall- eller eklågor måste säkerställas på artens lokaler. Dvärgbägarlav är typisk art för </w:t>
      </w:r>
      <w:r>
        <w:rPr>
          <w:i/>
        </w:rPr>
        <w:t>9010 Taiga</w:t>
      </w:r>
      <w:r>
        <w:t xml:space="preserve"> (SLU Artdatabanken, 2024; Nitare &amp; Skogsstyrelsen, 2019).</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Mörk kolflarnlav (NT)</w:t>
      </w:r>
      <w:r>
        <w:t xml:space="preserve"> är brandberoende och växer nästan uteslutande på kolad hård kärnved av tall. Arten förekommer främst i glesa, öppna tall- och blandbarrskogar av naturskogskaraktär och etableringen verkar ske sent efter brand, kanske först efter 100–300 år. Mörk kolflarnlav indikerar skog med höga naturvärden och vanligast är att den påträffas på rester av nedbrunna torrakor och högstubbar och lågstubbar som är så grova att hela innandömet är urbränt. Tall- och blandbarrskogar av naturskogskaraktär med spår av återkommande bränder hyser höga biologiska värden och bör skyddas (SLU Artdatabanken, 2024).</w:t>
      </w:r>
    </w:p>
    <w:p>
      <w:r>
        <w:rPr>
          <w:b/>
        </w:rPr>
        <w:t>Nordtagging (NT)</w:t>
      </w:r>
      <w:r>
        <w:t xml:space="preserve"> växer främst på tallågor av grövre dimensioner och påträffas huvudsakligen i äldre skog som inte kalavverkats. Nordtaggingen missgynnas av att områden med äldre tallskog har minskat starkt. Bekämpning av skogsbränder, samtidigt som skogsbruket omvandlar naturligt glesa tallbestånd till likartade och betydligt tätare bestånd, har missgynnat arten. Bristen på gamla tallågor utgör på sikt ett allvarligt hot och återskapandet av lämpliga biotoper tar mycket lång tid. Områden med olikåldriga bestånd av tall och med stort inslag av äldre träd bör undantas från skoglig produktion (SLU Artdatabanken, 2024).</w:t>
      </w:r>
    </w:p>
    <w:p>
      <w:r>
        <w:rPr>
          <w:b/>
        </w:rPr>
        <w:t xml:space="preserve">Tallticka (NT) </w:t>
      </w:r>
      <w:r>
        <w:t xml:space="preserve">uppträder först på tallar som är 100–150 år gamla men är vanligast på träd som är runt 150–200 år eller äldre. I skogslandskapet är den främst knuten till tallnaturskogar och restbiotoper med biologiskt gamla träd och signalerar vanligtvis skyddsvärda tallbestånd med höga naturvärden. Tallticka är typisk art för </w:t>
      </w:r>
      <w:r>
        <w:rPr>
          <w:i/>
        </w:rPr>
        <w:t xml:space="preserve">9010 Taiga </w:t>
      </w:r>
      <w:r>
        <w:t xml:space="preserve">och </w:t>
      </w:r>
      <w:r>
        <w:rPr>
          <w:i/>
        </w:rPr>
        <w:t>9060 Åsbarrskog</w:t>
      </w:r>
      <w:r>
        <w:t xml:space="preserve"> (SLU Artdatabanken, 2023; Nitare &amp; Skogsstyrelsen, 2019).</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r>
        <w:rPr>
          <w:b/>
        </w:rPr>
        <w:t xml:space="preserve">Vaddporing (NT) </w:t>
      </w:r>
      <w:r>
        <w:t>är en brunrötande vednedbrytare som hittas på undersidan av liggande murken tallved i olika former. Substratet utgörs framför allt av den typ av hård, kådimpregnerad och ofta kolad tallved som skapas i brandpräglad skog. Vedtypen nybildas i mycket liten omfattning och det är sannolikt att arten upplever en utdöendeskuld. För att garantera artens fortlevnad bör man både säkra att artens växtplatser hålls intakta samt att långsiktigt säkerställa att ny ved tillkommer, allra helst i omedelbar anslutning till artens växtplatser. Skoglig gallring och annat uttag av virke innebär ett hot mot arten (SLU Artdatabanken, 2024).</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Vitgrynig nållav (NT)</w:t>
      </w:r>
      <w:r>
        <w:t xml:space="preserve"> växer nästan uteslutande på bark av gamla, senvuxna granar i skuggiga lägen med hög och jämn luftfuktighet. Den vanligaste naturtypen för arten är kontinuitetsskogar på frisk mark men den finns också i sumpgranskogar. På lång sikt utgör avverkningar av olikåldriga granskogar av naturskogskaraktär ett allvarligt hot mot arten och skogsbruksåtgärder på eller i närheten av växtplatserna bör undvikas. Naturskogsartade, fuktiga granskogar med förekomster av arten signalerar höga biologiska värden och bör bevaras (SLU Artdatabanken, 2024; Nitare &amp; Skogsstyrelsen, 2019).</w:t>
      </w:r>
    </w:p>
    <w:p>
      <w:r>
        <w:rPr>
          <w:b/>
        </w:rPr>
        <w:t>Plattlummer (§9)</w:t>
      </w:r>
      <w:r>
        <w:t xml:space="preserve"> växer främst i ljusöppna sandtallskogar eller annan gles, torr och brandpräglad hedbarrskog. Den är mest frekvent i olika typer av naturskogar och kontinuitetsskogar och missgynnas markant av slutavverkning och maskinell markberedning. Söder ut i landet förekommer de närstående arterna cypresslummer (EN, §8) och mellanlummer (NT, §9), vilka båda omfattas av EU:s art- och habitatdirektiv. Plattlummer är typisk art för </w:t>
      </w:r>
      <w:r>
        <w:rPr>
          <w:i/>
        </w:rPr>
        <w:t xml:space="preserve">9010 Taiga </w:t>
      </w:r>
      <w:r>
        <w:t>och</w:t>
      </w:r>
      <w:r>
        <w:rPr>
          <w:i/>
        </w:rPr>
        <w:t xml:space="preserve"> 2320 Rissandhedar </w:t>
      </w:r>
      <w:r>
        <w:t>(Nitare &amp; Skogsstyrelsen, 2019; SLU Artdatabanken, 2026).</w:t>
      </w:r>
    </w:p>
    <w:p>
      <w:r>
        <w:rPr>
          <w:b/>
        </w:rPr>
        <w:t>Kransmossa</w:t>
      </w:r>
      <w:r>
        <w:t xml:space="preserve"> är typisk art för </w:t>
      </w:r>
      <w:r>
        <w:rPr>
          <w:i/>
        </w:rPr>
        <w:t xml:space="preserve">9050 Näringsrik granskog </w:t>
      </w:r>
      <w:r>
        <w:t xml:space="preserve">och </w:t>
      </w:r>
      <w:r>
        <w:rPr>
          <w:i/>
        </w:rPr>
        <w:t xml:space="preserve">6170 Alpina kalkgräsmarker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19 naturvårdsarter varav 15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2026-10-23</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