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33638-2025 i Älvdalens kommun</w:t>
      </w:r>
    </w:p>
    <w:p>
      <w:r>
        <w:t>Denna tillsynsbegäran behandlar höga naturvärden i avverkningsanmälan A 33638-2025 i Älvdalens kommun som inkom 2025-07-03 och omfattar 2,1 ha.</w:t>
      </w:r>
    </w:p>
    <w:p>
      <w:pPr>
        <w:pStyle w:val="Caption"/>
      </w:pPr>
      <w:r>
        <w:drawing>
          <wp:inline xmlns:a="http://schemas.openxmlformats.org/drawingml/2006/main" xmlns:pic="http://schemas.openxmlformats.org/drawingml/2006/picture">
            <wp:extent cx="5486400" cy="3874416"/>
            <wp:docPr id="1" name="Picture 1"/>
            <wp:cNvGraphicFramePr>
              <a:graphicFrameLocks noChangeAspect="1"/>
            </wp:cNvGraphicFramePr>
            <a:graphic>
              <a:graphicData uri="http://schemas.openxmlformats.org/drawingml/2006/picture">
                <pic:pic>
                  <pic:nvPicPr>
                    <pic:cNvPr id="0" name="A 33638-2025 karta.png"/>
                    <pic:cNvPicPr/>
                  </pic:nvPicPr>
                  <pic:blipFill>
                    <a:blip r:embed="rId16"/>
                    <a:stretch>
                      <a:fillRect/>
                    </a:stretch>
                  </pic:blipFill>
                  <pic:spPr>
                    <a:xfrm>
                      <a:off x="0" y="0"/>
                      <a:ext cx="5486400" cy="3874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6835475, E 409085 i SWEREF 99 TM.</w:t>
      </w:r>
    </w:p>
    <w:p>
      <w:r>
        <w:t>I avverkningsanmälan finns fynd av 6 naturvårdsarter, varav 6 är rödlistade och 4 är typiska (T): gräddporing (VU, T), blanksvart spiklav (NT), dropptaggsvamp (NT, T), dvärgbägarlav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