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klagomål behandlar höga naturvärden i avverkningsanmälan A 50497-2025 i Älvdalens kommun som inkom 2025-10-15 och omfattar 21,0 ha.</w:t>
      </w:r>
    </w:p>
    <w:p>
      <w:pPr>
        <w:pStyle w:val="Caption"/>
      </w:pPr>
      <w:r>
        <w:drawing>
          <wp:inline xmlns:a="http://schemas.openxmlformats.org/drawingml/2006/main" xmlns:pic="http://schemas.openxmlformats.org/drawingml/2006/picture">
            <wp:extent cx="5486400" cy="5459783"/>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4597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6795716, E 430794 i SWEREF 99 TM.</w:t>
      </w:r>
    </w:p>
    <w:p>
      <w:r>
        <w:t>I och inom 23 meter från avverkningsanmälan finns fynd av 19 naturvårdsarter, varav 12 är rödlistade, 6 är fridlysta, 13 är typiska (T) och 3 är signalarter (S): garnlav (VU, T), dropptaggsvamp (NT, T), dvärgbägarlav (NT, T), kolflarnlav (NT, T), mörk kolflarnlav (NT), rynkskinn (NT, T), tallticka (NT, T), talltita (NT, §4), tretåig hackspett (NT, T, §4), vedflamlav (NT), vedskivlav (NT, T), vitgrynig nållav (NT), mindre märgborre (S, T), trådticka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