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23203-2026 i Älvdalens kommun</w:t>
      </w:r>
    </w:p>
    <w:p>
      <w:r>
        <w:t>Denna tillsynsbegäran behandlar höga naturvärden i avverkningsanmälan A 23203-2026 i Älvdalens kommun som inkom 2026-05-20 och omfattar 21,4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23203-2026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6840740, E 413959 i SWEREF 99 TM.</w:t>
      </w:r>
    </w:p>
    <w:p>
      <w:r>
        <w:t>I och inom 20 meter från avverkningsanmälan finns fynd av 22 naturvårdsarter, varav 18 är rödlistade, 3 är fridlysta, 11 är typiska (T) och 3 är signalarter (S): Calicium ramboldiicola (VU), gräddporing (VU, T), gränsticka (VU, T), smalfotad taggsvamp (VU), blanksvart spiklav (NT), blågrå svartspik (NT), dropptaggsvamp (NT, T), dvärgbägarlav (NT, T), kolflarnlav (NT, T), kortskaftad ärgspik (NT), mörk kolflarnlav (NT), nordtagging (NT), talltagel (NT, T), tallticka (NT, T), talltita (NT, §4), varglav (NT, §8), vedflamlav (NT), vedskivlav (NT, T), mindre märgborre (S, T), nästlav (S, T), vedticka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Calicium ramboldiicola</w:t>
      </w:r>
      <w:r>
        <w:rPr>
          <w:b/>
        </w:rPr>
        <w:t xml:space="preserve"> (VU)</w:t>
      </w:r>
      <w:r>
        <w:t xml:space="preserve"> är en spiklav som parasiterar på den rödlistade laven vedflamlav (NT), men är mer sällsynt än värdarten. Arten hotas av brist på kontinuitetsskog och död ved av hög naturvårdskvalitet. Tall- och barrblandskogar med naturskogskaraktär och spår av bränder har ofta höga biologiska värden och bör skyddas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gränsticka (VU, T), dropptaggsvamp (NT, T), dvärgbägarlav (NT, T), kolflarnlav (NT, T), talltagel (NT, T), tallticka (NT, T), vedskivlav (NT, T), mindre märgborre (S, T), nästlav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