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28623-2020 i Älvdalens kommun</w:t>
      </w:r>
    </w:p>
    <w:p>
      <w:r>
        <w:t>Detta dokument behandlar höga naturvärden i avverkningsanmälan A 28623-2020 i Älvdalens kommun. Denna avverkningsanmälan inkom 2020-06-17 och omfattar 8,1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urskogsporing (EN), fläckporing (VU), goliatmusseron (VU), gräddporing (VU), smalfotad taggsvamp (VU), spadskinn (VU), tajgataggsvamp (VU), blanksvart spiklav (NT), blågrå svartspik (NT), dvärgbägarlav (NT), garnlav (NT), kolflarnlav (NT), mospindling (NT), mörk kolflarnlav (NT), nordtagging (NT), tretåig hackspett (NT, §4), vaddporing (NT), varglav (NT, §8), vedflamlav (NT), vedskivlav (NT), vitplätt (NT), dropptaggsvamp (S) och mindre märgborre (S). Av dessa är 21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42671"/>
            <wp:docPr id="1" name="Picture 1"/>
            <wp:cNvGraphicFramePr>
              <a:graphicFrameLocks noChangeAspect="1"/>
            </wp:cNvGraphicFramePr>
            <a:graphic>
              <a:graphicData uri="http://schemas.openxmlformats.org/drawingml/2006/picture">
                <pic:pic>
                  <pic:nvPicPr>
                    <pic:cNvPr id="0" name="A 28623-2020 karta.png"/>
                    <pic:cNvPicPr/>
                  </pic:nvPicPr>
                  <pic:blipFill>
                    <a:blip r:embed="rId16"/>
                    <a:stretch>
                      <a:fillRect/>
                    </a:stretch>
                  </pic:blipFill>
                  <pic:spPr>
                    <a:xfrm>
                      <a:off x="0" y="0"/>
                      <a:ext cx="5486400" cy="454267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6858153, E 367939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Fläckporing (VU)</w:t>
      </w:r>
      <w:r>
        <w:t xml:space="preserve"> är en mycket bra signalart som visar på tallnaturskogar med höga naturvärden. Den är placerad högst upp i Skogsstyrelsens värdepyramid för bedömning av skog med höga naturvärden och indikerar områden som är mer eller mindre opåverkade av skogsbruk och där det funnits en kontinuitet av tallågor i olika nedbrytningsstadier. För att på lång sikt bibehålla livskraftiga populationer i ett område behövs troligen större skyddade områden som tillåter att man upprätthåller en naturlig branddynamik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rPr>
          <w:b/>
        </w:rPr>
        <w:t>Mospindling (NT)</w:t>
      </w:r>
      <w:r>
        <w:t xml:space="preserve"> bildar mykorrhiza med tall, huvudsakligen i sandig mark bland renlav på magra äldre tallhedar. Inventering av torra tallhedar för att hitta lokaler med denna art är viktigt. Gödsling, kalavverkning och/eller gallring med markförstörande maskiner måste undvikas på lokalerna. Mospindling är globalt rödlistad som nära hotad vilket innebär att Sverige har ett internationellt ansvar för arten (IUCN, 2025;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Urskogsporing (EN)</w:t>
      </w:r>
      <w:r>
        <w:t xml:space="preserve"> är en starkt hotad art som växer på lågor av barrträd, företrädesvis tall, mer sällan gran. Den är hittills bara påträffad i äldre skogsbestånd med tydlig naturskogskaraktär. Urskogsporingen är förmodligen gynnad av brand och den typ av ved som arten växer på nyskapas knappast alls i modernt skogsbruk. Kända lokaler måste skyddas och undantas från skogsbruk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Vitplätt (NT)</w:t>
      </w:r>
      <w:r>
        <w:t xml:space="preserve"> är en nedbrytare av död, hård och torr tallved och orsakar brunröta. Den förekommer mest i äldre, naturskogsliknande tallskog eller blandskog med äldre tall. Arten hotas av avverkning av gammal, senvuxen tall. I södra Sverige råder brist på lämpliga habitat och arten kan inte längre sprida sig utanför sina få kända växtplatser. Lokaler med gammal tall bör undantas från skogsbruk, i synnerhet i södra Sverige (SLU Artdatabanken, 2024).</w:t>
      </w:r>
    </w:p>
    <w:p>
      <w:pPr>
        <w:pStyle w:val="Heading1"/>
      </w:pPr>
      <w:r>
        <w:t>Fridlysta arter</w:t>
      </w:r>
    </w:p>
    <w:p>
      <w:r>
        <w:t>Följande fridlysta arter har sina livsmiljöer och växtplatser i den avverkningsanmälda skogen: tretåig hackspett (NT, §4) och varglav (NT,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23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21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