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53732-2025 i Älvdalens kommun</w:t>
      </w:r>
    </w:p>
    <w:p>
      <w:r>
        <w:t>Denna tillsynsbegäran behandlar höga naturvärden i avverkningsanmälan A 53732-2025 i Älvdalens kommun som inkom 2025-10-30 och omfattar 28,1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6838996, E 407276 i SWEREF 99 TM.</w:t>
      </w:r>
    </w:p>
    <w:p>
      <w:r>
        <w:t>I och inom 22 meter från avverkningsanmälan finns fynd av 19 naturvårdsarter, varav 16 är rödlistade, 5 är fridlysta, 13 är typiska (T) och 1 är signalart (S): mosippa (EN, T, §8), garnlav (VU, T), raggbock (VU, T), skrovlig taggsvamp (VU), blå taggsvamp (NT, T), dropptaggsvamp (NT, T), dvärgbägarlav (NT, T), kolflarnlav (NT, T), motaggsvamp (NT, T), mörk kolflarnlav (NT), orange taggsvamp (NT, T), skarp dropptaggsvamp (NT), talltita (NT, §4), tretåig hackspett (NT, T, §4), vedflamlav (NT), vedskivlav (NT, T), mindre märgborre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garnlav (VU, T), raggbock (VU, T), blå taggsvamp (NT, T), dropptaggsvamp (NT, T), dvärgbägarlav (NT, T), kolflarnlav (NT, T), motaggsvamp (NT, T), orange taggsvamp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