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33548-2023 i Älvdalens kommun</w:t>
      </w:r>
    </w:p>
    <w:p>
      <w:r>
        <w:t>Detta klagomål behandlar höga naturvärden i avverkningsanmälan A 33548-2023 i Älvdalens kommun som inkom 2023-07-11 och omfattar 5,2 ha.</w:t>
      </w:r>
    </w:p>
    <w:p>
      <w:pPr>
        <w:pStyle w:val="Caption"/>
      </w:pPr>
      <w:r>
        <w:drawing>
          <wp:inline xmlns:a="http://schemas.openxmlformats.org/drawingml/2006/main" xmlns:pic="http://schemas.openxmlformats.org/drawingml/2006/picture">
            <wp:extent cx="5486400" cy="5228106"/>
            <wp:docPr id="1" name="Picture 1"/>
            <wp:cNvGraphicFramePr>
              <a:graphicFrameLocks noChangeAspect="1"/>
            </wp:cNvGraphicFramePr>
            <a:graphic>
              <a:graphicData uri="http://schemas.openxmlformats.org/drawingml/2006/picture">
                <pic:pic>
                  <pic:nvPicPr>
                    <pic:cNvPr id="0" name="A 33548-2023 karta.png"/>
                    <pic:cNvPicPr/>
                  </pic:nvPicPr>
                  <pic:blipFill>
                    <a:blip r:embed="rId16"/>
                    <a:stretch>
                      <a:fillRect/>
                    </a:stretch>
                  </pic:blipFill>
                  <pic:spPr>
                    <a:xfrm>
                      <a:off x="0" y="0"/>
                      <a:ext cx="5486400" cy="522810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6877361, E 367395 i SWEREF 99 TM.</w:t>
      </w:r>
    </w:p>
    <w:p>
      <w:r>
        <w:t>I och inom 13 meter från avverkningsanmälan finns fynd av 17 naturvårdsarter, varav 7 är rödlistade, 9 är fridlysta, 10 är typiska (T) och 4 är signalarter (S): garnlav (VU, T), rosenticka (NT, T), skrovellav (NT, T), talltita (NT, §4), tretåig hackspett (NT, T, §4), vedflamlav (NT), vitgrynig nållav (NT), bronshjon (S, T), granbarkgnagare (S, T), spindelblomster (S, T, §8), ögonpyrola (S, T), spillkråka (T, §4), tjäder (T, §4), kungsfågel (§4),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