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43051-2025 i Älvdalens kommun</w:t>
      </w:r>
    </w:p>
    <w:p>
      <w:r>
        <w:t>Denna tillsynsbegäran behandlar höga naturvärden i avverkningsanmälan A 43051-2025 i Älvdalens kommun som inkom 2025-09-09 och omfattar 1,1 ha.</w:t>
      </w:r>
    </w:p>
    <w:p>
      <w:pPr>
        <w:pStyle w:val="Caption"/>
      </w:pPr>
      <w:r>
        <w:drawing>
          <wp:inline xmlns:a="http://schemas.openxmlformats.org/drawingml/2006/main" xmlns:pic="http://schemas.openxmlformats.org/drawingml/2006/picture">
            <wp:extent cx="5486400" cy="4884970"/>
            <wp:docPr id="1" name="Picture 1"/>
            <wp:cNvGraphicFramePr>
              <a:graphicFrameLocks noChangeAspect="1"/>
            </wp:cNvGraphicFramePr>
            <a:graphic>
              <a:graphicData uri="http://schemas.openxmlformats.org/drawingml/2006/picture">
                <pic:pic>
                  <pic:nvPicPr>
                    <pic:cNvPr id="0" name="A 43051-2025 karta.png"/>
                    <pic:cNvPicPr/>
                  </pic:nvPicPr>
                  <pic:blipFill>
                    <a:blip r:embed="rId16"/>
                    <a:stretch>
                      <a:fillRect/>
                    </a:stretch>
                  </pic:blipFill>
                  <pic:spPr>
                    <a:xfrm>
                      <a:off x="0" y="0"/>
                      <a:ext cx="5486400" cy="488497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6873878, E 370496 i SWEREF 99 TM.</w:t>
      </w:r>
    </w:p>
    <w:p>
      <w:r>
        <w:t>I och inom 25 meter från avverkningsanmälan finns fynd av 11 naturvårdsarter, varav 7 är rödlistade, 5 är fridlysta, 7 är typiska (T) och 2 är signalarter (S): pärluggla (EN, T, §4), garnlav (VU, T), kolflarnlav (NT, T), skrovellav (NT, T), talltita (NT, §4), tretåig hackspett (NT, T, §4), vitgrynig nållav (NT), bronshjon (S, T), vågbandad barkbock (S),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Pärluggla (EN, §4)</w:t>
      </w:r>
      <w:r>
        <w:t xml:space="preserve"> är en starkt hotad art som omfattas av bilaga 1 EU:s fågeldirektiv. Beståndet har gradvis minskat sedan början av 1980-talet och efter 2010 tyder data från Svensk Fågeltaxering på att beståndet i det närmaste helt kraschat. Minskningstakten har uppgått till 60 (40–80) % under de senaste 15 åren. Pärlugglan är beroende av äldre, varierad skog med goda jaktmöjligheter och god tillgång på lämpliga trädhål som boplatser. Hemområdet är i storleksordningen 200–500 hektar, men storleken varierar kraftigt beroende på hur mycket föda det finns. 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Pärluggla är typisk art för </w:t>
      </w:r>
      <w:r>
        <w:rPr>
          <w:i/>
        </w:rPr>
        <w:t>9010 Västlig taiga</w:t>
      </w:r>
      <w:r>
        <w:t xml:space="preserve"> (SLU Artdatabanken, 2026; Skogsstyrelsen, 2016).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pärluggla (EN, T, §4), garnlav (VU, T), kolflarnlav (NT, T), skrovellav (NT, T), tretåig hackspett (NT, T, §4), bronshjon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Pärluggla – ekologi samt krav på livsmiljön</w:t>
      </w:r>
    </w:p>
    <w:p>
      <w:r>
        <w:t xml:space="preserve">Pärluggla (EN, §4) är en starkt hotad art som är typisk art för </w:t>
      </w:r>
      <w:r>
        <w:rPr>
          <w:i/>
        </w:rPr>
        <w:t>9010 Västlig taiga</w:t>
      </w:r>
      <w:r>
        <w:t xml:space="preserve"> och omfattas av bilaga 1 EU:s fågeldirektiv. Beståndet har gradvis minskat sedan början av 1980-talet och efter 2010 tyder data från Svensk Fågeltaxering på att beståndet i det närmaste helt kraschat. Minskningstakten har uppgått till 60 (40–80) % under de senaste 15 åren och överstiger gränsvärdet för starkt hotad (EN) (SLU Artdatabanken, 2026).</w:t>
      </w:r>
    </w:p>
    <w:p>
      <w:r>
        <w:t>Pärlugglan är beroende av äldre, varierad skog med goda jaktmöjligheter och god tillgång på lämpliga trädhål som boplatser. Den förekommer med störst täthet i äldre granskog, med inslag av gamla lövträd och luckor och öppningar i form av mindre hyggen, jordbruksmark och liknande. Den häckar även frekvent i barr- och lövblandskogar av tall, björk och asp, där förutsättningarna att finna boplatser är störst. I sydligaste Sverige häckar den ofta i gamla bokbackar, men den är mycket sällsynt i ren bokskog. Hemområdet är i storleksordningen 200–500 hektar, men storleken varierar kraftigt beroende på hur mycket föda det finns. Under dåliga gnagarår kan pärlugglan jaga upp till 4 km från boet medan den under bra år ofta håller sig inom 1 km (SLU Artdatabanken, 2026).</w:t>
      </w:r>
    </w:p>
    <w:p>
      <w:r>
        <w:t>Undvik skogsbruksåtgärder som kan skada hänsynskrävande miljöer, som till exempel strand- och sumpskogar med naturskogskaraktär, äldre skog på uddar och öar, raviner, klyftor och blockmarker samt berg- och rasbranter, äldre hällmarksskog, äldre sandtallskogar, naturskogsrester, eller äldre trädbestånd med mycket hänglavar eller död ved (Skogsstyrelsen, 2016).</w:t>
      </w:r>
    </w:p>
    <w:p>
      <w:pPr>
        <w:pStyle w:val="Heading2"/>
      </w:pPr>
      <w:r>
        <w:t>Referenser – pärluggla</w:t>
      </w:r>
    </w:p>
    <w:p>
      <w:r>
        <w:t xml:space="preserve">SLU Artdatabanken, 2026. </w:t>
      </w:r>
      <w:r>
        <w:rPr>
          <w:i/>
        </w:rPr>
        <w:t xml:space="preserve">Artfaktablad. Naturvård – artfakta. </w:t>
      </w:r>
      <w:r>
        <w:t>SLU Artdatabanken, Uppsala.</w:t>
      </w:r>
    </w:p>
    <w:p>
      <w:r>
        <w:t xml:space="preserve">Skogsstyrelsen, 2016. </w:t>
      </w:r>
      <w:r>
        <w:rPr>
          <w:i/>
        </w:rPr>
        <w:t>Vägledning för hänsyn till pärluggla.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