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49 naturvårdsarter, varav 37 är rödlistade, 8 är fridlysta, 21 är typiska (T) och 7 är signalarter (S): mosippa (EN, T, §8), fläckporing (VU, T), garnlav (VU, T), goliatmusseron (VU, T), gräddporing (VU, T), gränsticka (VU, T), gyllenspindling (VU), rotfingersvamp (VU), skrovlig taggsvamp (VU), smalfotad taggsvamp (VU), smultronkantarell (VU), spadskinn (VU), tajgataggsvamp (VU), torrmusseron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plattlummer (S, T, §9), rödgul trumpetsvamp (S), vedticka (S, T), brudborste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garnlav (VU, T), goliatmusseron (VU, T), gräddporing (VU, T), gränsticka (VU, T), blå taggsvamp (NT, T), dropptaggsvamp (NT, T), dvärgbägarlav (NT, T), kolflarnlav (NT, T), motaggsvamp (NT, T), vedskivlav (NT, T), vedtrappmossa (NT, T), grönpyrola (S, T), korallblylav (S, T), mindre märgborre (S, T), plattlummer (S, T, §9),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