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69728-2021 i Älvdalens kommun</w:t>
      </w:r>
    </w:p>
    <w:p>
      <w:r>
        <w:t>Detta dokument behandlar höga naturvärden i avverkningsanmälan A 69728-2021 i Älvdalens kommun. Denna avverkningsanmälan inkom 2021-12-02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barrgråtagging (VU), fläckporing (VU), gräddporing (VU), smalfotad taggsvamp (VU), blanksvart spiklav (NT), dvärgbägarlav (NT), kolflarnlav (NT), mörk kolflarnlav (NT), nordtagging (NT), orange taggsvamp (NT), skrovlig taggsvamp (NT), vedskivlav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3129"/>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2313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6857009, E 403019 i SWEREF 99 TM.</w:t>
      </w:r>
    </w:p>
    <w:p>
      <w:r>
        <w:rPr>
          <w:b/>
        </w:rPr>
        <w:t>Barrgråtagging (VU)</w:t>
      </w:r>
      <w:r>
        <w:t xml:space="preserve"> är en sällsynt gelésvamp som nästan uteslutande bara förekommer i äldre barrskogar med riklig mängd död ved. Den växer på murken barrträdsved, helst på undersidan av väl rötade lågor. Det finns även uppgifter om att den kan växa på asp. Arten missgynnas av skogsbruk som innebär att tillgången på död ved minskar. Den skadas troligen också av ökad exponering t.ex. vid gallring. Artens beroende av äldre skog bör närmare utredas genom detaljinventering av lämpliga lokaler. I väntan på mer information om skötsel bör kända växtplatser lämnas intakta men hållas under uppsikt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