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33548-2023 i Älvdalens kommun</w:t>
      </w:r>
    </w:p>
    <w:p>
      <w:r>
        <w:t>Detta dokument behandlar höga naturvärden i avverkningsanmälan A 33548-2023 i Älvdalens kommun. Denna avverkningsanmälan inkom 2023-07-11 och omfattar 5,2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13 naturvårdsarter hittats: garnlav (NT), granticka (NT), rosenticka (NT), skrovellav (NT), talltita (NT, §4), tretåig hackspett (NT, §4), vedflamlav (NT), vitgrynig nållav (NT), spindelblomster (S, §8), ögonpyrola (S), vanlig groda (§6), fläcknycklar (§8) och revlummer (§9). Av dessa är 8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850464"/>
            <wp:docPr id="1" name="Picture 1"/>
            <wp:cNvGraphicFramePr>
              <a:graphicFrameLocks noChangeAspect="1"/>
            </wp:cNvGraphicFramePr>
            <a:graphic>
              <a:graphicData uri="http://schemas.openxmlformats.org/drawingml/2006/picture">
                <pic:pic>
                  <pic:nvPicPr>
                    <pic:cNvPr id="0" name="A 33548-2023 karta.png"/>
                    <pic:cNvPicPr/>
                  </pic:nvPicPr>
                  <pic:blipFill>
                    <a:blip r:embed="rId16"/>
                    <a:stretch>
                      <a:fillRect/>
                    </a:stretch>
                  </pic:blipFill>
                  <pic:spPr>
                    <a:xfrm>
                      <a:off x="0" y="0"/>
                      <a:ext cx="5486400" cy="385046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6877361, E 367395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Rosenticka (NT)</w:t>
      </w:r>
      <w:r>
        <w:t>,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(Nitare &amp; Skogsstyrelsen, 2019; SLU Artdatabanken, 2024).</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en sällsynt parasitsvamp med rödbruna apothecier, skrovellavsknapp </w:t>
      </w:r>
      <w:r>
        <w:rPr>
          <w:i/>
        </w:rPr>
        <w:t>Plectocarpon scrobiculatae</w:t>
      </w:r>
      <w:r>
        <w:t xml:space="preserve"> (EN) (SLU Artdatabanken, 2024; Nitare &amp; Skogsstyrelsen, 2019).</w:t>
      </w:r>
    </w:p>
    <w:p>
      <w:r>
        <w:rPr>
          <w:b/>
        </w:rPr>
        <w:t>Vedflamlav (NT)</w:t>
      </w:r>
      <w:r>
        <w:t xml:space="preserve"> växer på gammal hård och torr, exponerad kärnved av tall, främst på högstubbar i ljusöppna lägen, t.ex. vid och på myrar, sjökanter, i glesa hällmarkskogar och i brandpräglade tallnaturskogar. Substratet nyskapas i begränsad omfattning och arten är en utmärkt indikator på höga naturvärden i denna skogstyp. Tall- och barrblandskogar med naturskogskaraktär och spår av bränder har ofta höga biologiska värden och bör skyddas (SLU Artdatabanken, 2024).</w:t>
      </w:r>
    </w:p>
    <w:p>
      <w:r>
        <w:rPr>
          <w:b/>
        </w:rPr>
        <w:t>Vitgrynig nållav (NT)</w:t>
      </w:r>
      <w:r>
        <w:t xml:space="preserve"> växer nästan uteslutande på bark av gamla, senvuxna granar i skuggiga lägen med hög och jämn luftfuktighet. Den vanligaste naturtypen för arten är kontinuitetsskogar på frisk mark men den finns också i sumpgranskogar. På lång sikt utgör avverkningar av olikåldriga granskogar av naturskogskaraktär ett allvarligt hot mot arten och skogsbruksåtgärder på eller i närheten av växtplatserna bör undvikas. Naturskogsartade, fuktiga granskogar med förekomster av arten signalerar höga biologiska värden och bör bevaras (SLU Artdatabanken, 2024; Nitare &amp; Skogsstyrelsen, 2019).</w:t>
      </w:r>
    </w:p>
    <w:p>
      <w:r>
        <w:rPr>
          <w:b/>
        </w:rPr>
        <w:t xml:space="preserve">Ögonpyrola </w:t>
      </w:r>
      <w:r>
        <w:t>är normalt en bra signalart som visar på områden med höga naturvärden och stabila förhållanden, särskilt inom näringsfattiga trakter. Växten är mycket känslig för markskador och försvinner snabbt efter slutavverkning. Den hotas också av skogsgödsling och markavvattning (Nitare &amp; Skogsstyrelsen, 2019).</w:t>
      </w:r>
    </w:p>
    <w:p>
      <w:pPr>
        <w:pStyle w:val="Heading1"/>
      </w:pPr>
      <w:r>
        <w:t>Fridlysta arter</w:t>
      </w:r>
    </w:p>
    <w:p>
      <w:r>
        <w:t>Följande fridlysta arter har sina livsmiljöer och växtplatser i den avverkningsanmälda skogen: talltita (NT, §4), tretåig hackspett (NT, §4), spindelblomster (S, §8), vanlig groda (§6), fläcknycklar (§8) och revlummer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Spindelblomster (§8)</w:t>
      </w:r>
      <w:r>
        <w:t xml:space="preserve"> växer i äldre mossrik granskog eller barrblandskog, men även i fjällbjörkskog. Arten indikerar långvarig trädkontinuitet och hög luftfuktighet och är mycket känslig för uttorkning och markskador. Spindelblomster har i många trakter minskat starkt under senare tid på grund av slutavverkningar och skogsmarksdikning (Nitare &amp; Skogsstyrelsen, 2019).</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13 naturvårdsarter varav 8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2025-07-13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