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36755-2026 i Älvdalens kommun</w:t>
      </w:r>
    </w:p>
    <w:p>
      <w:r>
        <w:t>Detta klagomål behandlar höga naturvärden i avverkningsanmälan A 36755-2026 i Älvdalens kommun som inkom 2026-09-07 och omfattar 10,5 ha.</w:t>
      </w:r>
    </w:p>
    <w:p>
      <w:pPr>
        <w:pStyle w:val="Caption"/>
      </w:pPr>
      <w:r>
        <w:drawing>
          <wp:inline xmlns:a="http://schemas.openxmlformats.org/drawingml/2006/main" xmlns:pic="http://schemas.openxmlformats.org/drawingml/2006/picture">
            <wp:extent cx="5486400" cy="4956614"/>
            <wp:docPr id="1" name="Picture 1"/>
            <wp:cNvGraphicFramePr>
              <a:graphicFrameLocks noChangeAspect="1"/>
            </wp:cNvGraphicFramePr>
            <a:graphic>
              <a:graphicData uri="http://schemas.openxmlformats.org/drawingml/2006/picture">
                <pic:pic>
                  <pic:nvPicPr>
                    <pic:cNvPr id="0" name="A 36755-2026 karta.png"/>
                    <pic:cNvPicPr/>
                  </pic:nvPicPr>
                  <pic:blipFill>
                    <a:blip r:embed="rId16"/>
                    <a:stretch>
                      <a:fillRect/>
                    </a:stretch>
                  </pic:blipFill>
                  <pic:spPr>
                    <a:xfrm>
                      <a:off x="0" y="0"/>
                      <a:ext cx="5486400" cy="4956614"/>
                    </a:xfrm>
                    <a:prstGeom prst="rect"/>
                  </pic:spPr>
                </pic:pic>
              </a:graphicData>
            </a:graphic>
          </wp:inline>
        </w:drawing>
      </w:r>
    </w:p>
    <w:p>
      <w:pPr>
        <w:pStyle w:val="Caption"/>
        <w:spacing w:after="240"/>
      </w:pPr>
      <w:r>
        <w:t>Figur 1. Fyndplatser för naturvårdsarter i och inom 24 meter från avverkningsanmälan. Markörer utan svart kant är placerade på fyndplatsen. Markörer med svart kant är placerade vid sidan av fyndplatsen och har ett svart streck som visar fyndplatsens exakta position. Kartans mittpunktskoordinat är N 6808539, E 433527 i SWEREF 99 TM.</w:t>
      </w:r>
    </w:p>
    <w:p>
      <w:r>
        <w:t>I och inom 24 meter från avverkningsanmälan finns fynd av 34 naturvårdsarter, varav 22 är rödlistade, 10 är fridlysta, 22 är typiska (T) och 5 är signalarter (S): urskogsporing (EN), garnlav (VU, T), knärot (VU, T, §8), ulltickeporing (VU), blanksvart spiklav (NT), dropptaggsvamp (NT, T), dvärgbägarlav (NT, T), kolflarnlav (NT, T), kortskaftad ärgspik (NT), lunglav (NT, T), mörk kolflarnlav (NT), nordfladdermus (NT, §4a), skogshare (NT), stjärntagging (NT, T), talltaggsvamp (NT), tallticka (NT, T), talltita (NT, §4), tretåig hackspett (NT, T, §4), ullticka (NT, T), vedflamlav (NT), vedskivlav (NT, T), vedtrappmossa (NT, T), mindre märgborre (S, T), skinnlav (S, T), spindelblomster (S, T, §8), stuplav (S, T), ögonpyrola (S, T), brudborste (T), kransmossa (T), spillkråka (T, §4), tjäder (T, §4), tofsmes (T, §4), dvärgpipistrell (§4a) och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Urskogsporing (EN)</w:t>
      </w:r>
      <w:r>
        <w:t xml:space="preserve"> är en starkt hotad art som växer på lågor av barrträd, företrädesvis tall, mer sällan gran. Den är hittills bara påträffad i äldre skogsbestånd med tydlig naturskogskaraktär. Urskogsporingen är förmodligen gynnad av brand och den typ av ved som arten växer på nyskapas knappast alls i modernt skogsbruk. Kända lokaler måste skyddas och undantas från skogsbruk (SLU Artdatabanken, 2024).</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1.50 ha med buffertzonerna och får av detta skäl inte avverkas.</w:t>
      </w:r>
    </w:p>
    <w:p>
      <w:pPr>
        <w:pStyle w:val="Caption"/>
      </w:pPr>
      <w:r>
        <w:drawing>
          <wp:inline xmlns:a="http://schemas.openxmlformats.org/drawingml/2006/main" xmlns:pic="http://schemas.openxmlformats.org/drawingml/2006/picture">
            <wp:extent cx="5486400" cy="4234520"/>
            <wp:docPr id="2" name="Picture 2"/>
            <wp:cNvGraphicFramePr>
              <a:graphicFrameLocks noChangeAspect="1"/>
            </wp:cNvGraphicFramePr>
            <a:graphic>
              <a:graphicData uri="http://schemas.openxmlformats.org/drawingml/2006/picture">
                <pic:pic>
                  <pic:nvPicPr>
                    <pic:cNvPr id="0" name="A 36755-2026 karta knärot.png"/>
                    <pic:cNvPicPr/>
                  </pic:nvPicPr>
                  <pic:blipFill>
                    <a:blip r:embed="rId17"/>
                    <a:stretch>
                      <a:fillRect/>
                    </a:stretch>
                  </pic:blipFill>
                  <pic:spPr>
                    <a:xfrm>
                      <a:off x="0" y="0"/>
                      <a:ext cx="5486400" cy="4234520"/>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6808539, E 433527 i SWEREF 99 TM.</w:t>
      </w:r>
    </w:p>
    <w:p>
      <w:r>
        <w:rPr>
          <w:b/>
        </w:rPr>
        <w:t xml:space="preserve">Ulltickeporing </w:t>
      </w:r>
      <w:r>
        <w:rPr>
          <w:b/>
          <w:i/>
        </w:rPr>
        <w:t>Skeletocutis brevispora</w:t>
      </w:r>
      <w:r>
        <w:rPr>
          <w:b/>
        </w:rPr>
        <w:t xml:space="preserve"> (VU)</w:t>
      </w:r>
      <w:r>
        <w:t>,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Nordfladdermus (NT, §4a)</w:t>
      </w:r>
      <w:r>
        <w:t xml:space="preserve"> omfattas av bilaga 4 EU:s art- och habitatdirektiv vilket innebär ett strikt skydd där arten och dess livsmiljöer ska bevaras. 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Nordfladdermus har minskat med 27,5 (5–50) % under de senaste 21 åren och minskningstakten för den svenska populationen bedöms vara nära gränsvärdet för Sårbar (VU). (A2bc) (SLU Artdatabanken, 2024; Skogsstyrelsen, 2016).</w:t>
      </w:r>
    </w:p>
    <w:p>
      <w:r>
        <w:rPr>
          <w:b/>
        </w:rPr>
        <w:t>Stjärntagging (NT)</w:t>
      </w:r>
      <w:r>
        <w:t xml:space="preserve"> signalerar inom hela sitt utbredningsområde höga naturvärden. Svampen är uttorkningskänslig och beroende av ett oförändrat fuktigt mikroklimat. Den är även beroende av en ständig tillgång på död ved i olika nedbrytningsstadier, dock ej nödvändigtvis grova träd. Tidigare påverkan på miljön måste dock ha varit så skonsam att det naturliga skogsekosystemet till stora delar har bevarats. Minskningstakten för den svenska populationen bedöms vara nära gränsvärdet för Sårbar (VU). Stjärntagging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 xml:space="preserve">Talltaggsvamp (NT) </w:t>
      </w:r>
      <w:r>
        <w:t>förekommer främst i tallnaturskogar eller tallskogar av kontinuitetsskogskaraktär där den bildar mykorrhiza med tall. Särskilt frekvent är den i sandtallskogar med inslag av gamla träd, t.ex. på grusåsar, stränder och sandhedar. Arten hotas främst av skogsavverkning och tycks försvinna efter slutavverkning, markberedning och plantering. Talltaggsvamp är globalt rödlistad som nära hotad (NT) vilket innebär att Sverige har ett internationellt ansvar för arten (IUCN, 2025; SLU Artdatabanken, 2024).</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r>
        <w:rPr>
          <w:b/>
        </w:rPr>
        <w:t>Mindre märgborre</w:t>
      </w:r>
      <w:r>
        <w:t xml:space="preserve"> är en signalart för tallskog med höga naturvärden och betraktas tillsammans med skarptandad barkborre som nyckelarter för ett antal sällsynta åtgärdsprogramsarter som är beroende av deras gångsystem. Bland dessa kan nämnas avlång barkborre (VU), </w:t>
      </w:r>
      <w:r>
        <w:rPr>
          <w:i/>
        </w:rPr>
        <w:t>Corticeus longulus</w:t>
      </w:r>
      <w:r>
        <w:t xml:space="preserve"> (VU), tallgångbagge (VU), cholodkovskys bastborre (NT) och tallbarksvartbagge (NT). Den mindre märgborrens måsvingeliknande gnaggångar är lätta att känna igen och hittas ofta på grova tallgrenar på marken. 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(SLU Artdatabanken, 2026; Pettersson, 2014; Hedgren, 2012; Gunnarsson m fl., 1999).</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 xml:space="preserve">Ögonpyrola </w:t>
      </w:r>
      <w:r>
        <w:t xml:space="preserve">är normalt en bra signalart som visar på områden med höga naturvärden och stabila förhållanden, särskilt inom näringsfattiga trakter. Växten är mycket känslig för markskador och försvinner snabbt efter slutavverkning. Den hotas också av skogsgödsling och markavvattning. Ögonpyrola är typisk art för </w:t>
      </w:r>
      <w:r>
        <w:rPr>
          <w:i/>
        </w:rPr>
        <w:t>9010 Taiga</w:t>
      </w:r>
      <w:r>
        <w:t xml:space="preserve"> och</w:t>
      </w:r>
      <w:r>
        <w:rPr>
          <w:i/>
        </w:rPr>
        <w:t xml:space="preserve"> 9070 Trädklädd betesmark</w:t>
      </w:r>
      <w:r>
        <w:t xml:space="preserve"> (Nitare &amp; Skogsstyrelsen, 2019; SLU Artdatabanken, 2024).</w:t>
      </w:r>
    </w:p>
    <w:p>
      <w:r>
        <w:rPr>
          <w:b/>
        </w:rPr>
        <w:t>Brudborste</w:t>
      </w:r>
      <w:r>
        <w:t xml:space="preserve"> är typisk art för </w:t>
      </w:r>
      <w:r>
        <w:rPr>
          <w:i/>
        </w:rPr>
        <w:t xml:space="preserve">9050 Näringsrik granskog, 9040 Fjällbjörkskog, 6530 Lövängar, 6430 Högörtängar </w:t>
      </w:r>
      <w:r>
        <w:t xml:space="preserve">och </w:t>
      </w:r>
      <w:r>
        <w:rPr>
          <w:i/>
        </w:rPr>
        <w:t>6510 Slåtterängar i låglandet</w:t>
      </w:r>
      <w:r>
        <w:t xml:space="preserve"> (SLU Artdatabanken, 2025).</w:t>
      </w:r>
    </w:p>
    <w:p>
      <w:r>
        <w:rPr>
          <w:b/>
        </w:rPr>
        <w:t>Kransmossa</w:t>
      </w:r>
      <w:r>
        <w:t xml:space="preserve"> är typisk art för </w:t>
      </w:r>
      <w:r>
        <w:rPr>
          <w:i/>
        </w:rPr>
        <w:t xml:space="preserve">9050 Näringsrik granskog </w:t>
      </w:r>
      <w:r>
        <w:t xml:space="preserve">och </w:t>
      </w:r>
      <w:r>
        <w:rPr>
          <w:i/>
        </w:rPr>
        <w:t xml:space="preserve">6170 Alpina kalkgräsmarker </w:t>
      </w:r>
      <w:r>
        <w:t>(SLU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r>
        <w:rPr>
          <w:b/>
        </w:rPr>
        <w:t>Tofsmes (§4)</w:t>
      </w:r>
      <w:r>
        <w:t xml:space="preserve"> häckar i barr- och blandskog, främst i tallskog. Tofsmes är typisk art för </w:t>
      </w:r>
      <w:r>
        <w:rPr>
          <w:i/>
        </w:rPr>
        <w:t xml:space="preserve">9010 Taiga </w:t>
      </w:r>
      <w:r>
        <w:t>(SLU Artdatabanken, 2025).</w:t>
      </w:r>
    </w:p>
    <w:p>
      <w:r>
        <w:rPr>
          <w:b/>
        </w:rPr>
        <w:t>Dvärgpipistrell (§4a)</w:t>
      </w:r>
      <w:r>
        <w:t xml:space="preserve"> omfattas av bilaga 4 EU:s art- och habitatdirektiv vilket innebär ett strikt skydd där arten och dess livsmiljöer ska bevaras.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27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34 naturvårdsarter varav 22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Ulltickeporing – ekologi samt krav på livsmiljön</w:t>
      </w:r>
    </w:p>
    <w:p>
      <w:r>
        <w:t xml:space="preserve">Ulltickeporing </w:t>
      </w:r>
      <w:r>
        <w:rPr>
          <w:i/>
        </w:rPr>
        <w:t>Skeletocutis brevispora</w:t>
      </w:r>
      <w:r>
        <w:t xml:space="preserve"> (VU),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2026).</w:t>
      </w:r>
    </w:p>
    <w:p>
      <w:r>
        <w:t xml:space="preserve">Ulltickeporingen har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(SLU Artdatabanken, 2026; Miettinen &amp; Niemelä, 2018).</w:t>
      </w:r>
    </w:p>
    <w:p>
      <w:pPr>
        <w:pStyle w:val="Heading2"/>
      </w:pPr>
      <w:r>
        <w:t>Referenser – ulltickeporing</w:t>
      </w:r>
    </w:p>
    <w:p>
      <w:r>
        <w:t xml:space="preserve">Miettinen, O. &amp; Niemelä, T., 2018. </w:t>
      </w:r>
      <w:r>
        <w:rPr>
          <w:i/>
        </w:rPr>
        <w:t>Two new temperate polypore species of Skeletocutis (Polyporales, Basidiomycota)</w:t>
      </w:r>
      <w:r>
        <w:t>. Ann. Bot. Fennici 55: 195–206.</w:t>
      </w:r>
    </w:p>
    <w:p>
      <w:r>
        <w:t xml:space="preserve">SLU Artdatabanken, 2026.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Nordfladdermus – ekologi samt krav på livsmiljön</w:t>
      </w:r>
    </w:p>
    <w:p>
      <w:r>
        <w:t>Nordfladdermus (NT, §4a) omfattas av bilaga 4 EU:s art- och habitatdirektiv vilket innebär ett strikt skydd för arten och dess livsmiljöer. Arten har minskat med 27,5 (5–50) % under de senaste 21 åren och minskningstakten för den svenska populationen bedöms vara nära gränsvärdet för Sårbar (VU). (A2bc) (SLU Artdatabanken, 2024).</w:t>
      </w:r>
    </w:p>
    <w:p>
      <w:r>
        <w:t>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nordfladdermus</w:t>
      </w:r>
    </w:p>
    <w:p>
      <w:r>
        <w:t xml:space="preserve">Skogsstyrelsen, 2016. </w:t>
      </w:r>
      <w:r>
        <w:rPr>
          <w:i/>
        </w:rPr>
        <w:t xml:space="preserve">Vägledning för hänsyn till nordfladdermus. </w:t>
      </w:r>
      <w:r>
        <w:t>Vägledningar och kunskapsstöd artskydd - Skogsstyrelsen</w:t>
      </w:r>
    </w:p>
    <w:p>
      <w:r>
        <w:t>SLU Artdatabanken, 2024.</w:t>
      </w:r>
      <w:r>
        <w:rPr>
          <w:i/>
        </w:rPr>
        <w:t xml:space="preserve">  Artfakta: nordfladdermus (Eptesicus nilssonii). </w:t>
      </w:r>
      <w:r>
        <w:t>https://artfakta.se/taxa/205998</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som nyckelarter, eftersom en rad sällsynta efterföljande arter är beroende av deras gångsystem. Bland dessa kan nämnas åtgärdsprogramsarterna avlång barkborre (VU), </w:t>
      </w:r>
      <w:r>
        <w:rPr>
          <w:i/>
        </w:rPr>
        <w:t>Corticeus longulus</w:t>
      </w:r>
      <w:r>
        <w:t xml:space="preserve"> (VU), tallgångbagge (VU), cholodkovskys bastborre (NT) och tallbarksvartbagge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2026).</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2026.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p>
      <w:pPr>
        <w:pStyle w:val="Heading1"/>
      </w:pPr>
      <w:r>
        <w:t>Dvärgpipistrell – ekologi samt krav på livsmiljön</w:t>
      </w:r>
    </w:p>
    <w:p>
      <w:r>
        <w:t>Dvärgpipistrell (§4a) omfattas av bilaga 4 EU:s art- och habitatdirektiv vilket innebär ett strikt skydd för arten och dess livsmiljöer.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dvärgpipistrell</w:t>
      </w:r>
    </w:p>
    <w:p>
      <w:r>
        <w:t xml:space="preserve">Skogsstyrelsen, 2016. </w:t>
      </w:r>
      <w:r>
        <w:rPr>
          <w:i/>
        </w:rPr>
        <w:t xml:space="preserve">Vägledning för hänsyn till pipistrell. </w:t>
      </w:r>
      <w:r>
        <w:t>Vägledningar och kunskapsstöd artskydd - Skogsstyrelsen</w:t>
      </w:r>
    </w:p>
    <w:p>
      <w:r>
        <w:t>SLU Artdatabanken, 2024.</w:t>
      </w:r>
      <w:r>
        <w:rPr>
          <w:i/>
        </w:rPr>
        <w:t xml:space="preserve">  Artfakta: dvärgpipistrell (Pipistrellus pygmaeus). </w:t>
      </w:r>
      <w:r>
        <w:t>https://artfakta.se/taxa/205995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2026-10-25</w:t>
      <w:br/>
      <w:br/>
    </w:r>
    <w:r>
      <w:t>Till: Övriga statliga verk och myndigheter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