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69728-2021 i Älvdalens kommun</w:t>
      </w:r>
    </w:p>
    <w:p>
      <w:r>
        <w:t>Detta klagomål behandlar höga naturvärden i avverkningsanmälan A 69728-2021 i Älvdalens kommun som inkom 2021-12-02 och omfattar 19,1 ha.</w:t>
      </w:r>
    </w:p>
    <w:p>
      <w:pPr>
        <w:pStyle w:val="Caption"/>
      </w:pPr>
      <w:r>
        <w:drawing>
          <wp:inline xmlns:a="http://schemas.openxmlformats.org/drawingml/2006/main" xmlns:pic="http://schemas.openxmlformats.org/drawingml/2006/picture">
            <wp:extent cx="5486400" cy="3276757"/>
            <wp:docPr id="1" name="Picture 1"/>
            <wp:cNvGraphicFramePr>
              <a:graphicFrameLocks noChangeAspect="1"/>
            </wp:cNvGraphicFramePr>
            <a:graphic>
              <a:graphicData uri="http://schemas.openxmlformats.org/drawingml/2006/picture">
                <pic:pic>
                  <pic:nvPicPr>
                    <pic:cNvPr id="0" name="A 69728-2021 karta.png"/>
                    <pic:cNvPicPr/>
                  </pic:nvPicPr>
                  <pic:blipFill>
                    <a:blip r:embed="rId16"/>
                    <a:stretch>
                      <a:fillRect/>
                    </a:stretch>
                  </pic:blipFill>
                  <pic:spPr>
                    <a:xfrm>
                      <a:off x="0" y="0"/>
                      <a:ext cx="5486400" cy="327675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6857009, E 403019 i SWEREF 99 TM.</w:t>
      </w:r>
    </w:p>
    <w:p>
      <w:r>
        <w:t>I och inom 25 meter från avverkningsanmälan finns fynd av 13 naturvårdsarter, varav 13 är rödlistade och 7 är typiska (T): barrgråtagging (VU), fläckporing (VU, T), gräddporing (VU, T), skrovlig taggsvamp (VU), smalfotad taggsvamp (VU), blanksvart spiklav (NT), dropptaggsvamp (NT, T), dvärgbägarlav (NT, T), kolflarnlav (NT, T), mörk kolflarnlav (NT), nordtagging (NT), orange taggsvamp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Barrgråtagging (VU)</w:t>
      </w:r>
      <w:r>
        <w:t xml:space="preserve"> är en sällsynt gelésvamp som nästan uteslutande bara förekommer i äldre barrskogar med riklig mängd död ved. Den växer på murken barrträdsved, helst på undersidan av väl rötade lågor. Det finns även uppgifter om att den kan växa på asp. Arten missgynnas av skogsbruk som innebär att tillgången på död ved minskar. Den skadas troligen också av ökad exponering t.ex. vid gallring. Artens beroende av äldre skog bör närmare utredas genom detaljinventering av lämpliga lokaler. I väntan på mer information om skötsel bör kända växtplatser lämnas intakta men hållas under uppsikt (SLU Artdatabanken, 2025).</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