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33285-2025 i Älvdalens kommun</w:t>
      </w:r>
    </w:p>
    <w:p>
      <w:r>
        <w:t>Denna tillsynsbegäran behandlar höga naturvärden i avverkningsanmälan A 33285-2025 i Älvdalens kommun som inkom 2025-07-02 och omfattar 48,8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3285-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6882560, E 362733 i SWEREF 99 TM.</w:t>
      </w:r>
    </w:p>
    <w:p>
      <w:r>
        <w:t>I och inom 25 meter från avverkningsanmälan finns fynd av 19 naturvårdsarter, varav 15 är rödlistade, 4 är fridlysta, 15 är typiska (T) och 2 är signalarter (S): garnlav (VU, T), gräddporing (VU, T), gränsticka (VU, T), ostticka (VU, T), skuggnål (VU), doftskinn (NT, T), gammelgransskål (NT, T), knottrig blåslav (NT, T), lavskrika (NT, T, §4), rosenticka (NT, T), rynkskinn (NT, T), tretåig hackspett (NT, T, §4), ullticka (NT, T), vedskivlav (NT, T), vitplätt (NT), bronshjon (S, T), trådticka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ostticka (VU, T), doftskinn (NT, T), gammelgransskål (NT, T), knottrig blåslav (NT, T), lavskrika (NT, T, §4), rosenticka (NT, T), rynkskinn (NT, T), tretåig hackspett (NT, T, §4), ullticka (NT, T), vedskivlav (NT, T), bronshjon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