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25 meter från avverkningsanmälan finns fynd av 30 naturvårdsarter, varav 26 är rödlistade, 6 är fridlysta, 15 är typiska (T) och 1 är signalart (S): fläckporing (VU, T), garnlav (VU, T), gräddporing (VU, T), smalfotad taggsvamp (VU), spadskinn (VU), tajgataggsvamp (VU), blanksvart spiklav (NT), blå taggsvamp (NT, T), blågrå svartspik (NT), dropptaggsvamp (NT, T), dvärgbägarlav (NT, T), kolflarnlav (NT, T), kortskaftad ärgspik (NT), motaggsvamp (NT, T), mörk kolflarnlav (NT), nordtagging (NT), skarp dropptaggsvamp (NT), svartvit taggsvamp (NT), talltagel (NT, T), talltita (NT, §4), tretåig hackspett (NT, T, §4), vaddporing (NT), varglav (NT, §8), vedflamlav (NT), vedskivlav (NT, T), violettgrå tagellav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motaggsvamp (NT, T), talltagel (NT, T), tretåig hackspett (NT, T, §4), vedskivlav (NT, T), violettgrå tagellav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