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19109-2023 i Älvdalens kommun</w:t>
      </w:r>
    </w:p>
    <w:p>
      <w:r>
        <w:t>Detta dokument behandlar höga naturvärden i avverkningsanmälan A 19109-2023 i Älvdalens kommun. Denna avverkningsanmälan inkom 2023-04-28 och omfattar 202,7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björktrast (NT, §4), blanksvart spiklav (NT), gammelgransskål (NT), garnlav (NT), granticka (NT), kolflarnlav (NT), mörk kolflarnlav (NT), talltita (NT, §4), tretåig hackspett (NT, §4), varglav (NT, §8), vedflamlav (NT), vedskivlav (NT), åkergroda (§4a), huggorm (§6), lopplummer (§9) och revlummer (§9). Av dessa är 12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5623"/>
            <wp:docPr id="1" name="Picture 1"/>
            <wp:cNvGraphicFramePr>
              <a:graphicFrameLocks noChangeAspect="1"/>
            </wp:cNvGraphicFramePr>
            <a:graphic>
              <a:graphicData uri="http://schemas.openxmlformats.org/drawingml/2006/picture">
                <pic:pic>
                  <pic:nvPicPr>
                    <pic:cNvPr id="0" name="A 19109-2023 karta.png"/>
                    <pic:cNvPicPr/>
                  </pic:nvPicPr>
                  <pic:blipFill>
                    <a:blip r:embed="rId16"/>
                    <a:stretch>
                      <a:fillRect/>
                    </a:stretch>
                  </pic:blipFill>
                  <pic:spPr>
                    <a:xfrm>
                      <a:off x="0" y="0"/>
                      <a:ext cx="5486400" cy="3945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6873210, E 401205 i SWEREF 99 TM.</w:t>
      </w:r>
    </w:p>
    <w:p>
      <w:pPr>
        <w:pStyle w:val="Heading1"/>
      </w:pPr>
      <w:r>
        <w:t>Fridlysta arter</w:t>
      </w:r>
    </w:p>
    <w:p>
      <w:r>
        <w:t>Följande fridlysta arter har sina livsmiljöer och växtplatser i den avverkningsanmälda skogen: björktrast (NT, §4), talltita (NT, §4), tretåig hackspett (NT, §4), varglav (NT, §8), åkergroda (§4a), huggorm (§6), lopplummer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