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25 meter från avverkningsanmälan finns fynd av 30 naturvårdsarter, varav 26 är rödlistade, 6 är fridlysta, 15 är typiska (T) och 1 är signalart (S): fläckporing (VU, T), garnlav (VU, T), gräddporing (VU, T), smalfotad taggsvamp (VU), spadskinn (VU), tajgataggsvamp (VU), blanksvart spiklav (NT), blå taggsvamp (NT, T), blågrå svartspik (NT), dropptaggsvamp (NT, T), dvärgbägarlav (NT, T), kolflarnlav (NT, T), kortskaftad ärgspik (NT), motaggsvamp (NT, T), mörk kolflarnlav (NT), nordtagging (NT), skarp dropptaggsvamp (NT), svartvit taggsvamp (NT), talltagel (NT, T), talltita (NT, §4), tretåig hackspett (NT, T, §4), vaddporing (NT), varglav (NT, §8), vedflamlav (NT), vedskivlav (NT, T), violettgrå tagellav (NT, T), plattlummer (S,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