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36371-2025 i Älvdalens kommun</w:t>
      </w:r>
    </w:p>
    <w:p>
      <w:r>
        <w:t>Denna tillsynsbegäran behandlar höga naturvärden i avverkningsanmälan A 36371-2025 i Älvdalens kommun som inkom 2025-07-30 och omfattar 30,8 ha.</w:t>
      </w:r>
    </w:p>
    <w:p>
      <w:pPr>
        <w:pStyle w:val="Caption"/>
      </w:pPr>
      <w:r>
        <w:drawing>
          <wp:inline xmlns:a="http://schemas.openxmlformats.org/drawingml/2006/main" xmlns:pic="http://schemas.openxmlformats.org/drawingml/2006/picture">
            <wp:extent cx="5486400" cy="5195741"/>
            <wp:docPr id="1" name="Picture 1"/>
            <wp:cNvGraphicFramePr>
              <a:graphicFrameLocks noChangeAspect="1"/>
            </wp:cNvGraphicFramePr>
            <a:graphic>
              <a:graphicData uri="http://schemas.openxmlformats.org/drawingml/2006/picture">
                <pic:pic>
                  <pic:nvPicPr>
                    <pic:cNvPr id="0" name="A 36371-2025 karta.png"/>
                    <pic:cNvPicPr/>
                  </pic:nvPicPr>
                  <pic:blipFill>
                    <a:blip r:embed="rId16"/>
                    <a:stretch>
                      <a:fillRect/>
                    </a:stretch>
                  </pic:blipFill>
                  <pic:spPr>
                    <a:xfrm>
                      <a:off x="0" y="0"/>
                      <a:ext cx="5486400" cy="5195741"/>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6784465, E 426777 i SWEREF 99 TM.</w:t>
      </w:r>
    </w:p>
    <w:p>
      <w:r>
        <w:t>I och inom 25 meter från avverkningsanmälan finns fynd av 17 naturvårdsarter, varav 12 är rödlistade, 5 är fridlysta, 11 är typiska (T) och 2 är signalarter (S): garnlav (VU, T), blanksvart spiklav (NT), blågrå svartspik (NT), dropptaggsvamp (NT, T), duvhök (NT, §4), dvärgbägarlav (NT, T), kolflarnlav (NT, T), mörk kolflarnlav (NT), tallticka (NT, T), tretåig hackspett (NT, T, §4), vedflamlav (NT), vedskivlav (NT, T), gräsull (S), mindre märgborre (S, T), bergfink (T, §4), spillkråka (T, §4) och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Duvhök (NT, §4)</w:t>
      </w:r>
      <w:r>
        <w:t>, som är rödlistad som nära hotad, har minskat med 15 (0–30) % under de senaste 18 åren och minskningstakten för den svenska populationen bedöms vara nära gränsvärdet för sårbar (VU). Arten är starkt bunden till skogsmark och jagar helst inne i äldre skog. Den missgynnas av stora hyggen och täta planteringar. De gamla fåglarna är i huvudsak stationära i sina revir och boet läggs inne i tät, oftast äldre skog. Kantzoner mot öppen mark undviks och duvhöken, som är beroende av insynsskyddade boplatser, är därför känsligare för slutavverkning än flera andra rovfåglar. Friställande av boträd eller avverkning så att boplatsen blir exponerad mot öppen mark, medför att platsen överges. Eftersom duvhöken helst häckar i gammal skog, är dess häckningsplatser i princip alltid mer eller mindre hotade av skogsbruk och avverkningar (SLU Artdatabanken, 2026; Skogsstyrelsen 2016).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Bergfink (§4)</w:t>
      </w:r>
      <w:r>
        <w:t xml:space="preserve"> häckar i barr- och blandskog samt i fjällbjörkskog. Den förekommer i Norrland, västra Dalarna och norra Värmland samt sparsamt till sällsynt vidare söderut till mellersta Värmland, norra Västmanland och södra Gästrikland. Bergfink är typisk art för </w:t>
      </w:r>
      <w:r>
        <w:rPr>
          <w:i/>
        </w:rPr>
        <w:t>9040 Fjällbjörkskog</w:t>
      </w:r>
      <w:r>
        <w:t xml:space="preserv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dropptaggsvamp (NT, T), dvärgbägarlav (NT, T), kolflarnlav (NT, T), tallticka (NT, T), tretåig hackspett (NT, T, §4), vedskivlav (NT, T), mindre märgborre (S, T), bergfink (T, §4), spillkråka (T, §4)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Duvhök – ekologi samt krav på livsmiljön</w:t>
      </w:r>
    </w:p>
    <w:p>
      <w:r>
        <w:t>Duvhök (NT, §4) är rödlistad som nära hotad och fridlyst enligt 4§ artskyddsförordningen. Arten har minskat med 15 (0–30) % under de senaste 18 åren och minskningstakten för den svenska populationen bedöms vara nära gränsvärdet för sårbar (VU). Bedömningen baseras på direkt observation, ett för arten lämpligt abundansindex och minskad geografisk utbredning och/eller försämrad habitatkvalitet (allt yngre och tätare skogar vilket försvårar för boplacering samt missgynnar jaktmöjligheterna) (SLU Artdatabanken, 2026).</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2026).</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2026).</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